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sz w:val="36"/>
        </w:rPr>
        <w:t>经济周期风险：整体规划与教学蓝图（结构化修订版）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555555"/>
          <w:sz w:val="19"/>
        </w:rPr>
        <w:t>Canonical Knowledge Specification｜知识边界、Knowledge Units、关系与掌握标准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一、文档定位与元数据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本文件作为“经济周期风险（Business Cycle Risk）”知识点的知识规范总纲，只管理学科知识边界及其结构化表达。学习流程、诊断规则、提问规则、案例、评分和 Prompt 分别由 02–08 管理，避免学科知识与教学行为混写。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字段</w:t>
            </w:r>
          </w:p>
        </w:tc>
        <w:tc>
          <w:tcPr>
            <w:tcW w:type="dxa" w:w="69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值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document_id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DOC_BC_01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title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经济周期风险：Canonical Knowledge / Knowledge Point Blueprint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spec_version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runtime_current_version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 Runtime 1.1（按实现审计）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target_runtime_version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 Spec 1.2.1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draft（待教师审核）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source_type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internal_design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source_scope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以原系统性风险 01–08 文档架构为模板，学科内容重构为经济周期风险；未将教学构造案例当作真实事件。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updated_at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2026-09-14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role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Canonical Knowledge / Knowledge Point Blueprint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ordinary_RAG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是，核心知识来源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content_status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draft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runtime_environment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development_override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true（仅开发环境）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production_gate</w:t>
            </w:r>
          </w:p>
        </w:tc>
        <w:tc>
          <w:tcPr>
            <w:tcW w:type="dxa" w:w="69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仅 status=published 可进入生产学生会话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二、知识点定位与学习目标</w:t>
      </w:r>
    </w:p>
    <w:p>
      <w:pPr>
        <w:ind w:firstLine="420"/>
      </w:pPr>
      <w:r>
        <w:rPr>
          <w:rFonts w:ascii="Noto Sans CJK SC" w:hAnsi="Noto Sans CJK SC" w:eastAsia="Noto Sans CJK SC"/>
          <w:b w:val="0"/>
          <w:sz w:val="21"/>
        </w:rPr>
        <w:t>知识点 ID：KP_BUSINESS_CYCLE_RISK。适用于金融学、金融风险管理、商业银行经营管理、投资学与宏观金融等本科课程，定位为“概念理解 + 机制分析 + 案例迁移”型知识点。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1. 解释经济周期风险并识别扩张、放缓、衰退和复苏阶段的典型变化。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2. 理解需求、利润、失业、违约和信贷条件之间的传导关系。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3. 区分实体经济周期、信用周期与资产价格周期。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4. 分析顺周期行为如何放大繁荣与衰退。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5. 识别周期敏感行业与防御性行业暴露差异。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6. 在企业、银行与投资组合案例中建立“周期阶段→变量变化→风险结果”的链条。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三、知识边界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宏观经济在扩张、放缓、衰退与复苏等阶段波动时，需求、利润、就业、信用质量、资产价格和融资条件随周期变化，从而使企业、金融机构和投资者遭受不利影响的风险。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经济周期风险关注宏观活动的周期性波动及其传导，不等同于任意短期市场波动。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区分实体经济周期、信用周期和资产价格周期，三者可能同步也可能错位。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行业周期敏感度不同，不能把整体经济变化机械映射到所有企业。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四、Knowledge Units（知识单元）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3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ID</w:t>
            </w:r>
          </w:p>
        </w:tc>
        <w:tc>
          <w:tcPr>
            <w:tcW w:type="dxa" w:w="226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名称/类型</w:t>
            </w:r>
          </w:p>
        </w:tc>
        <w:tc>
          <w:tcPr>
            <w:tcW w:type="dxa" w:w="3118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核心内容</w:t>
            </w:r>
          </w:p>
        </w:tc>
        <w:tc>
          <w:tcPr>
            <w:tcW w:type="dxa" w:w="300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掌握标准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C_BC_001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经济周期风险定义</w:t>
              <w:br/>
              <w:t>[概念]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宏观经济阶段变化通过需求、盈利、信用和融资条件影响主体。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能指出周期阶段与主要传导变量。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C_BC_002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实体/信用/资产价格周期</w:t>
              <w:br/>
              <w:t>[概念辨析]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实体活动、信贷扩张收缩和资产价格波动可能不同步。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能说明三者相关但不等同。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需求与利润渠道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经济放缓压低销售、产能利用率和利润，周期敏感行业更明显。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能结合行业需求弹性判断。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M_BC_002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信用质量与违约渠道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收入和利润下降削弱偿债能力，违约率可能上升。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能连接企业/居民现金流与金融机构资产质量。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M_BC_003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信贷与融资顺周期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繁荣期信贷宽松、衰退期风险偏好下降和信贷收缩可能放大波动。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能解释顺周期反馈。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M_BC_004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资产价格与财富渠道</w:t>
              <w:br/>
              <w:t>[机制]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资产价格变化影响抵押品、财富和融资能力。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能把资产价格与实体需求/信贷联系起来。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A_BC_001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周期暴露分析</w:t>
              <w:br/>
              <w:t>[分析]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按行业周期敏感度、杠杆、固定成本、融资期限和客户结构识别暴露。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能比较不同主体在同一周期冲击下的脆弱性。</w:t>
            </w:r>
          </w:p>
        </w:tc>
      </w:tr>
      <w:tr>
        <w:tc>
          <w:tcPr>
            <w:tcW w:type="dxa" w:w="153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COMP_BC_001</w:t>
            </w:r>
          </w:p>
        </w:tc>
        <w:tc>
          <w:tcPr>
            <w:tcW w:type="dxa" w:w="226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周期迁移能力</w:t>
              <w:br/>
              <w:t>[能力]</w:t>
            </w:r>
          </w:p>
        </w:tc>
        <w:tc>
          <w:tcPr>
            <w:tcW w:type="dxa" w:w="3118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面对未知行业案例，根据周期阶段和暴露结构进行因果判断。</w:t>
            </w:r>
          </w:p>
        </w:tc>
        <w:tc>
          <w:tcPr>
            <w:tcW w:type="dxa" w:w="300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能在“复苏但信贷仍弱”等错位情境下修正结论。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五、Knowledge Relations（关系）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from</w:t>
            </w:r>
          </w:p>
        </w:tc>
        <w:tc>
          <w:tcPr>
            <w:tcW w:type="dxa" w:w="1417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relation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to</w:t>
            </w:r>
          </w:p>
        </w:tc>
        <w:tc>
          <w:tcPr>
            <w:tcW w:type="dxa" w:w="45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关系说明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M_BC_001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causes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M_BC_002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需求与利润恶化可提高信用风险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M_BC_003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amplifies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信贷收缩可进一步压制需求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M_BC_004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amplifies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M_BC_003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抵押品价值下降可加剧融资收缩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C_BC_002</w:t>
            </w:r>
          </w:p>
        </w:tc>
        <w:tc>
          <w:tcPr>
            <w:tcW w:type="dxa" w:w="141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contrasts_with</w:t>
            </w:r>
          </w:p>
        </w:tc>
        <w:tc>
          <w:tcPr>
            <w:tcW w:type="dxa" w:w="1701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C_BC_001</w:t>
            </w:r>
          </w:p>
        </w:tc>
        <w:tc>
          <w:tcPr>
            <w:tcW w:type="dxa" w:w="45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不同周期维度不可机械等同</w:t>
            </w:r>
          </w:p>
        </w:tc>
      </w:tr>
    </w:tbl>
    <w:p>
      <w:pPr>
        <w:spacing w:after="20"/>
      </w:pP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六、Canonical Misconception / Gap</w:t>
      </w: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6.1 典型 misconception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error_id</w:t>
            </w:r>
          </w:p>
        </w:tc>
        <w:tc>
          <w:tcPr>
            <w:tcW w:type="dxa" w:w="283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典型错误</w:t>
            </w:r>
          </w:p>
        </w:tc>
        <w:tc>
          <w:tcPr>
            <w:tcW w:type="dxa" w:w="4195"/>
            <w:shd w:fill="D9EAF7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7"/>
              </w:rPr>
              <w:t>问题所在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ERR_BC_001_RECESSION_ALL_SAME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“经济衰退对所有行业影响一样”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忽略行业周期敏感度和需求结构。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ERR_BC_002_CYCLE_EQUALS_STOCK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“股市下跌就等于经济周期进入衰退”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混淆资产价格周期与实体经济周期。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ERR_BC_003_BOOM_NO_RISK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“扩张期风险一定最低”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忽略杠杆、信用扩张和脆弱性积累。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ERR_BC_004_ONE_INDICATOR</w:t>
            </w:r>
          </w:p>
        </w:tc>
        <w:tc>
          <w:tcPr>
            <w:tcW w:type="dxa" w:w="283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“只凭一个指标就能准确判定周期阶段”</w:t>
            </w:r>
          </w:p>
        </w:tc>
        <w:tc>
          <w:tcPr>
            <w:tcW w:type="dxa" w:w="4195"/>
            <w:vAlign w:val="center"/>
            <w:tcBorders>
              <w:top w:val="single" w:sz="4" w:color="A7A7A7"/>
              <w:left w:val="single" w:sz="4" w:color="A7A7A7"/>
              <w:bottom w:val="single" w:sz="4" w:color="A7A7A7"/>
              <w:right w:val="single" w:sz="4" w:color="A7A7A7"/>
              <w:insideH w:val="single" w:sz="4" w:color="A7A7A7"/>
              <w:insideV w:val="single" w:sz="4" w:color="A7A7A7"/>
            </w:tcBorders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忽略多指标和滞后/领先关系。</w:t>
            </w:r>
          </w:p>
        </w:tc>
      </w:tr>
    </w:tbl>
    <w:p>
      <w:pPr>
        <w:spacing w:after="20"/>
      </w:pPr>
    </w:p>
    <w:p>
      <w:pPr>
        <w:spacing w:before="100" w:after="60"/>
      </w:pPr>
      <w:r>
        <w:rPr>
          <w:rFonts w:ascii="Noto Sans CJK SC" w:hAnsi="Noto Sans CJK SC" w:eastAsia="Noto Sans CJK SC"/>
          <w:b/>
          <w:color w:val="2F5F8F"/>
          <w:sz w:val="23"/>
        </w:rPr>
        <w:t>6.2 Knowledge / Skill Gap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GAP_BC_PHASE：对应当前风险知识单元的缺口标签，仅在学生回答有证据时提交。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GAP_BC_CREDIT：对应当前风险知识单元的缺口标签，仅在学生回答有证据时提交。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GAP_BC_PROCYCLICAL：对应当前风险知识单元的缺口标签，仅在学生回答有证据时提交。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GAP_BC_SECTOR：对应当前风险知识单元的缺口标签，仅在学生回答有证据时提交。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GAP_BC_MISMATCH：对应当前风险知识单元的缺口标签，仅在学生回答有证据时提交。</w:t>
      </w:r>
    </w:p>
    <w:p>
      <w:pPr>
        <w:spacing w:before="160" w:after="100"/>
      </w:pPr>
      <w:r>
        <w:rPr>
          <w:rFonts w:ascii="Noto Sans CJK SC" w:hAnsi="Noto Sans CJK SC" w:eastAsia="Noto Sans CJK SC"/>
          <w:b/>
          <w:color w:val="2F5F8F"/>
          <w:sz w:val="27"/>
        </w:rPr>
        <w:t>七、Mastery Evidence 与发布边界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最低掌握：定义方向正确，能指出至少一个核心机制，并能在给定案例中判断风险方向。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稳定掌握：能在条件变化、反例和陌生案例中保持概念边界，并解释因果链。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高水平掌握：能比较多种机制、识别指标边界、主动说明判断所依赖的前提。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所有教学构造案例均为 synthetic；若后续引入真实案例，需单独记录来源、时间与审核状态。</w:t>
      </w:r>
    </w:p>
    <w:p>
      <w:pPr>
        <w:ind w:left="170" w:hanging="113"/>
      </w:pPr>
      <w:r>
        <w:rPr>
          <w:rFonts w:ascii="Noto Sans CJK SC" w:hAnsi="Noto Sans CJK SC" w:eastAsia="Noto Sans CJK SC"/>
          <w:b w:val="0"/>
          <w:sz w:val="20"/>
        </w:rPr>
        <w:t>• 版本字段与实际运行版本分离；工程实现并通过测试后再更新 runtime_current_version。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经济周期风险｜v1.2.1｜01/08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