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经济周期风险：案例库设计（结构化修订版）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Case Bank｜基础案例、反例、迁移案例与 Expected Reasoning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DOC_BC_06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经济周期风险：Case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文档架构为模板，学科内容重构为经济周期风险；未将教学构造案例当作真实事件。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是，建议作为独立案例库检索；机制标签不直接展示给学生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本版案例均为 synthetic（教学构造），用于训练机制识别与迁移，不应被当作真实历史事件。若后续加入 historical / adapted 案例，应补充来源与审核字段。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二、案例对象统一字段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 ID，例如 CASE_BC_001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historical / adapted / teacher_created；本版均 synthetic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counterexample / transfer / comprehensive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variant_group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同机制变体组，用于曝光控制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Knowledge Unit / Competency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student_visible_context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AI/教师端可见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 / excellent_answer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最低/高水平推理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只路由到正式 Question Group / KU / Competency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三、案例库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CASE_BC_001｜耐用品需求下降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VG_BC_01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经济进入放缓期，汽车与家电等可选消费需求明显下降。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需求与利润渠道；信用质量与违约渠道；信贷与融资顺周期；资产价格与财富渠道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识别周期敏感行业的需求与利润渠道。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缺失→SQG_BC_002；若概念边界错误→SQG_BC_001/002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CASE_BC_002｜银行资产质量恶化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VG_BC_02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企业利润下降、居民失业率上升，逾期贷款增加。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需求与利润渠道；信用质量与违约渠道；信贷与融资顺周期；资产价格与财富渠道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连接经济放缓与信用质量。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缺失→SQG_BC_003；若概念边界错误→SQG_BC_001/002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CASE_BC_003｜繁荣期杠杆积累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VG_BC_03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房地产和企业投资快速扩张，信贷增速持续较高。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需求与利润渠道；信用质量与违约渠道；信贷与融资顺周期；资产价格与财富渠道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说明扩张期也可能积累脆弱性。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缺失→SQG_BC_004；若概念边界错误→SQG_BC_001/002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CASE_BC_004｜信贷收缩反馈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VG_BC_04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金融机构风险偏好下降、提高授信门槛，企业投资进一步减少。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需求与利润渠道；信用质量与违约渠道；信贷与融资顺周期；资产价格与财富渠道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解释顺周期放大。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缺失→SQG_BC_005；若概念边界错误→SQG_BC_001/002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CASE_BC_005｜实体复苏但资产价格疲弱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counterexample / VG_BC_05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A_BC_001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经济增长改善，但部分资产价格和信用扩张仍较弱。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需求与利润渠道；信用质量与违约渠道；信贷与融资顺周期；资产价格与财富渠道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区分不同周期维度并避免单指标判断。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缺失→SQG_BC_006；若概念边界错误→SQG_BC_001/002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经济周期风险｜v1.2.1｜06/08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