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CJK SC" w:hAnsi="Noto Sans CJK SC" w:eastAsia="Noto Sans CJK SC"/>
          <w:b/>
          <w:sz w:val="36"/>
        </w:rPr>
        <w:t>汇率风险：学习流程设计（结构化修订版）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color w:val="555555"/>
          <w:sz w:val="19"/>
        </w:rPr>
        <w:t>Learning Workflow Specification｜状态机、阶段切换、异常处理与前端映射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一、文档定位与元数据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本文件只管理“汇率风险”学习过程中的 Workflow / State Machine，不保存完整学科知识正文、评分细则或 Prompt 全文。知识由 01 管理，诊断由 04 管理，Question Graph 由 05 管理，案例由 06 管理，评价由 07 管理，Prompt 由 08 管理。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32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值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document_id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DOC_FX_02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title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汇率风险：Workflow / State Machine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spec_version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runtime_current_version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Workflow / State Machine Runtime 1.1（按实现审计）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target_runtime_version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Workflow / State Machine Spec 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draft（待教师审核）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source_type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internal_design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source_scope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以原系统性风险 01–08 文档架构为模板，学科内容重构为汇率风险；未将教学构造案例当作真实事件。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updated_at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2026-09-14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role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Workflow / State Machine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ordinary_RAG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否；作为规则/结构化对象调用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content_status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runtime_environment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development_override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true（仅开发环境）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production_gate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 status=published 可进入生产学生会话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二、统一 Student State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8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368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类型/示例</w:t>
            </w:r>
          </w:p>
        </w:tc>
        <w:tc>
          <w:tcPr>
            <w:tcW w:type="dxa" w:w="368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用途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runtime_phase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DIAGNOSIS / SOCRATIC / FEYNMAN / REPORTING / COMPLETED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工程顶层 phase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pedagogical_stage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GOAL_PRESENTATION / DIAGNOSIS / KNOWLEDGE_CONSTRUCTION / CASE_TRANSFER / FEYNMAN_OUTPUT / REFLECTION / REPORT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七阶段教学细分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current_target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Knowledge Unit / Competency ID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每轮唯一 primary target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target_attempts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{target_id: integer}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 target 累计尝试次数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target_hint_levels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{target_id:0|1|2}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 target 保存提示级别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diagnostic_level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L1 / L2 / L3 / L4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全局初始诊断层级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unit_states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unknown / gap / partial / mastered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 KU 保存证据化状态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misconception_states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candidate / confirmed / resolved / unresolved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 misconception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gap_states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candidate / confirmed / resolved / unresolved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knowledge/skill gap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evidence_flags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FLAG_*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证据质量标记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claim_assessments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confidence + evidence_refs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置信度绑定具体判断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三、完整学习流程规格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phase_id</w:t>
            </w:r>
          </w:p>
        </w:tc>
        <w:tc>
          <w:tcPr>
            <w:tcW w:type="dxa" w:w="136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阶段</w:t>
            </w:r>
          </w:p>
        </w:tc>
        <w:tc>
          <w:tcPr>
            <w:tcW w:type="dxa" w:w="175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entry</w:t>
            </w:r>
          </w:p>
        </w:tc>
        <w:tc>
          <w:tcPr>
            <w:tcW w:type="dxa" w:w="238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allowed_actions</w:t>
            </w:r>
          </w:p>
        </w:tc>
        <w:tc>
          <w:tcPr>
            <w:tcW w:type="dxa" w:w="238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exit</w:t>
            </w:r>
          </w:p>
        </w:tc>
        <w:tc>
          <w:tcPr>
            <w:tcW w:type="dxa" w:w="215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failure_handling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PHASE_FX_01</w:t>
            </w:r>
          </w:p>
        </w:tc>
        <w:tc>
          <w:tcPr>
            <w:tcW w:type="dxa" w:w="136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学习目标呈现</w:t>
            </w:r>
          </w:p>
        </w:tc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新会话或恢复后尚未确认范围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展示目标与流程；不提前讲完整答案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学生确认进入学习</w:t>
            </w:r>
          </w:p>
        </w:tc>
        <w:tc>
          <w:tcPr>
            <w:tcW w:type="dxa" w:w="21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无响应则保持本阶段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PHASE_FX_02</w:t>
            </w:r>
          </w:p>
        </w:tc>
        <w:tc>
          <w:tcPr>
            <w:tcW w:type="dxa" w:w="136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初始知识诊断</w:t>
            </w:r>
          </w:p>
        </w:tc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目标已呈现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调用 04 平行诊断题并提取证据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形成至少 1 个可验证状态；低置信度追加验证</w:t>
            </w:r>
          </w:p>
        </w:tc>
        <w:tc>
          <w:tcPr>
            <w:tcW w:type="dxa" w:w="21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不因固定题数推进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PHASE_FX_03</w:t>
            </w:r>
          </w:p>
        </w:tc>
        <w:tc>
          <w:tcPr>
            <w:tcW w:type="dxa" w:w="136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苏格拉底知识建构</w:t>
            </w:r>
          </w:p>
        </w:tc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存在明确 gap / misconception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按 05 选择问题；每轮一个 current_target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定义 C_FX_001 稳定；概念边界 C_FX_002 无重大混淆；至少 2 个机制单元通过验证；能在未见案例中形成风险链。</w:t>
            </w:r>
          </w:p>
        </w:tc>
        <w:tc>
          <w:tcPr>
            <w:tcW w:type="dxa" w:w="21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提示升级后仍冲突则 NEED_TEACHER_REVIEW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PHASE_FX_04</w:t>
            </w:r>
          </w:p>
        </w:tc>
        <w:tc>
          <w:tcPr>
            <w:tcW w:type="dxa" w:w="136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案例迁移</w:t>
            </w:r>
          </w:p>
        </w:tc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Question Graph 退出条件满足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调用 06 未见 synthetic 案例；要求建立风险链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能根据条件变化修正判断</w:t>
            </w:r>
          </w:p>
        </w:tc>
        <w:tc>
          <w:tcPr>
            <w:tcW w:type="dxa" w:w="21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关键链缺失则路由回对应 target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PHASE_FX_05</w:t>
            </w:r>
          </w:p>
        </w:tc>
        <w:tc>
          <w:tcPr>
            <w:tcW w:type="dxa" w:w="136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费曼输出</w:t>
            </w:r>
          </w:p>
        </w:tc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案例迁移通过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面向非专业对象解释“是什么、为什么、如何判断”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完成自主表达</w:t>
            </w:r>
          </w:p>
        </w:tc>
        <w:tc>
          <w:tcPr>
            <w:tcW w:type="dxa" w:w="21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必要时允许一次定向重述，AI 不代写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PHASE_FX_06</w:t>
            </w:r>
          </w:p>
        </w:tc>
        <w:tc>
          <w:tcPr>
            <w:tcW w:type="dxa" w:w="136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反思优化</w:t>
            </w:r>
          </w:p>
        </w:tc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费曼输出完成且存在可定位缺口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只针对真实问题反馈与追问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完成一次自主修正</w:t>
            </w:r>
          </w:p>
        </w:tc>
        <w:tc>
          <w:tcPr>
            <w:tcW w:type="dxa" w:w="21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不得虚构缺口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PHASE_FX_07</w:t>
            </w:r>
          </w:p>
        </w:tc>
        <w:tc>
          <w:tcPr>
            <w:tcW w:type="dxa" w:w="136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学习报告</w:t>
            </w:r>
          </w:p>
        </w:tc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证据充分或需结束会话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调用 07 生成证据化报告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报告完成后 COMPLETED</w:t>
            </w:r>
          </w:p>
        </w:tc>
        <w:tc>
          <w:tcPr>
            <w:tcW w:type="dxa" w:w="21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证据冲突则标记复核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四、阶段切换原则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阶段切换必须由学生可观察证据触发，不以“已问够若干题”作为充分条件。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同一轮只维护一个 primary target；已掌握内容不重复训练。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部分正确时保留正确证据，仅路由到缺失环节。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模型只能 recommendTransition；服务端校验后才能 commit transition。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confidence 不替代证据；出现矛盾、疑似复制或无法可靠判断时进入 NEED_VERIFY / NEED_TEACHER_REVIEW。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五、七教学阶段与五 runtime phase 映射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02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pedagogical_stage</w:t>
            </w:r>
          </w:p>
        </w:tc>
        <w:tc>
          <w:tcPr>
            <w:tcW w:type="dxa" w:w="238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runtime_phase</w:t>
            </w:r>
          </w:p>
        </w:tc>
        <w:tc>
          <w:tcPr>
            <w:tcW w:type="dxa" w:w="3402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activity_type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GOAL_PRESENTATION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DIAGNOSIS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GOAL_PRESENTATION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DIAGNOSIS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DIAGNOSIS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DIAGNOSTIC_ASSESSMENT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KNOWLEDGE_CONSTRUCTION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SOCRATIC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QUESTION_GRAPH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CASE_TRANSFER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SOCRATIC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CASE_ANALYSIS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FEYNMAN_OUTPUT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FEYNMAN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FEYNMAN_EXPLANATION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REFLECTION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FEYNMAN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REFLECTION_REVISION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REPORT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REPORTING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REPORT_GENERATION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850" w:right="935" w:bottom="850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汇率风险｜v1.2.1｜02/08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