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Noto Sans CJK SC" w:hAnsi="Noto Sans CJK SC" w:eastAsia="Noto Sans CJK SC"/>
          <w:b/>
          <w:sz w:val="36"/>
        </w:rPr>
        <w:t>汇率风险：教学理论整理（规则化修订版）</w:t>
      </w:r>
    </w:p>
    <w:p>
      <w:pPr>
        <w:spacing w:after="200"/>
        <w:jc w:val="center"/>
      </w:pPr>
      <w:r>
        <w:rPr>
          <w:rFonts w:ascii="Noto Sans CJK SC" w:hAnsi="Noto Sans CJK SC" w:eastAsia="Noto Sans CJK SC"/>
          <w:b w:val="0"/>
          <w:color w:val="555555"/>
          <w:sz w:val="19"/>
        </w:rPr>
        <w:t>Pedagogy Policy Specification｜理论功能、工程化解释与可执行教学规则</w:t>
      </w:r>
    </w:p>
    <w:p>
      <w:pPr>
        <w:spacing w:before="160" w:after="100"/>
      </w:pPr>
      <w:r>
        <w:rPr>
          <w:rFonts w:ascii="Noto Sans CJK SC" w:hAnsi="Noto Sans CJK SC" w:eastAsia="Noto Sans CJK SC"/>
          <w:b/>
          <w:color w:val="2F5F8F"/>
          <w:sz w:val="27"/>
        </w:rPr>
        <w:t>一、文档定位与元数据</w:t>
      </w:r>
    </w:p>
    <w:p>
      <w:pPr>
        <w:ind w:firstLine="420"/>
      </w:pPr>
      <w:r>
        <w:rPr>
          <w:rFonts w:ascii="Noto Sans CJK SC" w:hAnsi="Noto Sans CJK SC" w:eastAsia="Noto Sans CJK SC"/>
          <w:b w:val="0"/>
          <w:sz w:val="21"/>
        </w:rPr>
        <w:t>本文件只管理 AI 学习教练的 Pedagogy Policy：将项目采用的苏格拉底提问法与费曼学习法转化为可执行教学行为约束。它不保存“汇率风险”完整知识正文，也不管理最终评分算法。</w:t>
      </w:r>
    </w:p>
    <w:tbl>
      <w:tblPr>
        <w:tblStyle w:val="TableGrid"/>
        <w:tblW w:type="auto" w:w="0"/>
        <w:jc w:val="center"/>
        <w:tblLayout w:type="autofit"/>
        <w:tblLook w:firstColumn="1" w:firstRow="1" w:lastColumn="0" w:lastRow="0" w:noHBand="0" w:noVBand="1" w:val="04A0"/>
      </w:tblPr>
      <w:tblGrid>
        <w:gridCol w:w="5185"/>
        <w:gridCol w:w="5185"/>
      </w:tblGrid>
      <w:tr>
        <w:tc>
          <w:tcPr>
            <w:tcW w:type="dxa" w:w="2324"/>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字段</w:t>
            </w:r>
          </w:p>
        </w:tc>
        <w:tc>
          <w:tcPr>
            <w:tcW w:type="dxa" w:w="6917"/>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值</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document_id</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DOC_FX_03</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title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汇率风险：Pedagogy Policy</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1.2.1</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spec_version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1.2.1</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runtime_current_version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Pedagogy Policy Runtime 1.1（按实现审计）</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target_runtime_version</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Pedagogy Policy Spec 1.2.1</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status</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draft（待教师审核）</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source_type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internal_design</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source_scope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以原系统性风险 01–08 文档架构为模板，学科内容重构为汇率风险；未将教学构造案例当作真实事件。</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updated_at</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2026-09-14</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role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Pedagogy Policy</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ordinary_RAG</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否；作为规则/结构化对象调用</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content_status</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draft</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runtime_environment</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development</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development_override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true（仅开发环境）</w:t>
            </w:r>
          </w:p>
        </w:tc>
      </w:tr>
      <w:tr>
        <w:tc>
          <w:tcPr>
            <w:tcW w:type="dxa" w:w="232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production_gate</w:t>
            </w:r>
          </w:p>
        </w:tc>
        <w:tc>
          <w:tcPr>
            <w:tcW w:type="dxa" w:w="69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仅 status=published 可进入生产学生会话</w:t>
            </w:r>
          </w:p>
        </w:tc>
      </w:tr>
    </w:tbl>
    <w:p>
      <w:pPr>
        <w:spacing w:after="20"/>
      </w:pPr>
    </w:p>
    <w:p>
      <w:pPr>
        <w:spacing w:before="160" w:after="100"/>
      </w:pPr>
      <w:r>
        <w:rPr>
          <w:rFonts w:ascii="Noto Sans CJK SC" w:hAnsi="Noto Sans CJK SC" w:eastAsia="Noto Sans CJK SC"/>
          <w:b/>
          <w:color w:val="2F5F8F"/>
          <w:sz w:val="27"/>
        </w:rPr>
        <w:t>二、理论在本项目中的功能定位</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70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理论/方法</w:t>
            </w:r>
          </w:p>
        </w:tc>
        <w:tc>
          <w:tcPr>
            <w:tcW w:type="dxa" w:w="255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理论功能</w:t>
            </w:r>
          </w:p>
        </w:tc>
        <w:tc>
          <w:tcPr>
            <w:tcW w:type="dxa" w:w="2948"/>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工程化解释</w:t>
            </w:r>
          </w:p>
        </w:tc>
        <w:tc>
          <w:tcPr>
            <w:tcW w:type="dxa" w:w="3288"/>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7"/>
              </w:rPr>
              <w:t>项目落地</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苏格拉底提问法</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通过澄清、追因、假设、反例和迁移促进主动建构。</w:t>
            </w:r>
          </w:p>
        </w:tc>
        <w:tc>
          <w:tcPr>
            <w:tcW w:type="dxa" w:w="294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将对话式追问转成按 Student State 选择 Question Graph 节点。</w:t>
            </w:r>
          </w:p>
        </w:tc>
        <w:tc>
          <w:tcPr>
            <w:tcW w:type="dxa" w:w="328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每轮只推进一个主目标；下一问必须依赖上一轮证据；禁止固定题序。</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费曼学习法</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要求学生面向非专业对象用自己的语言重述知识。</w:t>
            </w:r>
          </w:p>
        </w:tc>
        <w:tc>
          <w:tcPr>
            <w:tcW w:type="dxa" w:w="294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把“能否说清楚”转成概念、因果、例子、迁移等可观察证据。</w:t>
            </w:r>
          </w:p>
        </w:tc>
        <w:tc>
          <w:tcPr>
            <w:tcW w:type="dxa" w:w="3288"/>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7"/>
              </w:rPr>
              <w:t>学生先自主输出；重大漏洞回到对应苏格拉底分支，而不是由 AI 直接补全。</w:t>
            </w:r>
          </w:p>
        </w:tc>
      </w:tr>
    </w:tbl>
    <w:p>
      <w:pPr>
        <w:spacing w:after="20"/>
      </w:pPr>
    </w:p>
    <w:p>
      <w:pPr>
        <w:spacing w:before="160" w:after="100"/>
      </w:pPr>
      <w:r>
        <w:rPr>
          <w:rFonts w:ascii="Noto Sans CJK SC" w:hAnsi="Noto Sans CJK SC" w:eastAsia="Noto Sans CJK SC"/>
          <w:b/>
          <w:color w:val="2F5F8F"/>
          <w:sz w:val="27"/>
        </w:rPr>
        <w:t>三、苏格拉底提问类型规范</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170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type_id</w:t>
            </w:r>
          </w:p>
        </w:tc>
        <w:tc>
          <w:tcPr>
            <w:tcW w:type="dxa" w:w="1417"/>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提问类型</w:t>
            </w:r>
          </w:p>
        </w:tc>
        <w:tc>
          <w:tcPr>
            <w:tcW w:type="dxa" w:w="255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教学目的</w:t>
            </w:r>
          </w:p>
        </w:tc>
        <w:tc>
          <w:tcPr>
            <w:tcW w:type="dxa" w:w="255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触发状态</w:t>
            </w:r>
          </w:p>
        </w:tc>
        <w:tc>
          <w:tcPr>
            <w:tcW w:type="dxa" w:w="3515"/>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汇率风险示例</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QT_CLARIFY</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概念澄清</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检查术语边界、对象和表述含义</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定义含糊或核心对象不清</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你说的“汇率风险”具体是由什么变化、通过什么暴露产生风险？</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QT_CAUSAL</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原因追问</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要求解释因果机制，不停留在结论</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回答方向正确但机制缺失</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为什么这个变化会通过“外币应收应付暴露”影响最终损益或价值？</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QT_HYPOTHESIS</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假设分析</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改变一个条件检验理解稳定性</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基础答案已掌握</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如果关键头寸/合同条件反过来，你原来的判断是否还成立？</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QT_COUNTEREXAMPLE</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反例检验</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暴露过度概括</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出现“总是/一定”等绝对化判断</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能否构造一个“发生相关变化但并未形成显著汇率风险损失”的情境？</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QT_TRANSFER</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迁移应用</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检查能否用于新情境</w:t>
            </w:r>
          </w:p>
        </w:tc>
        <w:tc>
          <w:tcPr>
            <w:tcW w:type="dxa" w:w="255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核心机制已掌握</w:t>
            </w:r>
          </w:p>
        </w:tc>
        <w:tc>
          <w:tcPr>
            <w:tcW w:type="dxa" w:w="351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把同一机制迁移到一个新的金融或企业场景，你会先看哪些变量？</w:t>
            </w:r>
          </w:p>
        </w:tc>
      </w:tr>
    </w:tbl>
    <w:p>
      <w:pPr>
        <w:spacing w:after="20"/>
      </w:pPr>
    </w:p>
    <w:p>
      <w:pPr>
        <w:spacing w:before="160" w:after="100"/>
      </w:pPr>
      <w:r>
        <w:rPr>
          <w:rFonts w:ascii="Noto Sans CJK SC" w:hAnsi="Noto Sans CJK SC" w:eastAsia="Noto Sans CJK SC"/>
          <w:b/>
          <w:color w:val="2F5F8F"/>
          <w:sz w:val="27"/>
        </w:rPr>
        <w:t>四、可执行教学规则（Pedagogy Rules）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170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rule_id</w:t>
            </w:r>
          </w:p>
        </w:tc>
        <w:tc>
          <w:tcPr>
            <w:tcW w:type="dxa" w:w="1701"/>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scope</w:t>
            </w:r>
          </w:p>
        </w:tc>
        <w:tc>
          <w:tcPr>
            <w:tcW w:type="dxa" w:w="1134"/>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priority</w:t>
            </w:r>
          </w:p>
        </w:tc>
        <w:tc>
          <w:tcPr>
            <w:tcW w:type="dxa" w:w="1417"/>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label</w:t>
            </w:r>
          </w:p>
        </w:tc>
        <w:tc>
          <w:tcPr>
            <w:tcW w:type="dxa" w:w="4535"/>
            <w:shd w:fill="D9EAF7"/>
            <w:vAlign w:val="center"/>
            <w:tcBorders>
              <w:top w:val="single" w:sz="4" w:color="A7A7A7"/>
              <w:left w:val="single" w:sz="4" w:color="A7A7A7"/>
              <w:bottom w:val="single" w:sz="4" w:color="A7A7A7"/>
              <w:right w:val="single" w:sz="4" w:color="A7A7A7"/>
              <w:insideH w:val="single" w:sz="4" w:color="A7A7A7"/>
              <w:insideV w:val="single" w:sz="4" w:color="A7A7A7"/>
            </w:tcBorders>
          </w:tcPr>
          <w:p>
            <w:pPr>
              <w:jc w:val="center"/>
            </w:pPr>
            <w:r>
              <w:rPr>
                <w:rFonts w:ascii="Noto Sans CJK SC" w:hAnsi="Noto Sans CJK SC" w:eastAsia="Noto Sans CJK SC"/>
                <w:b/>
                <w:sz w:val="16"/>
              </w:rPr>
              <w:t>唯一语义</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PED_FX_001</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单轮认知目标控制</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PED_FX_002</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基于上一轮真实证据动态追问</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PED_FX_003</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优先启发而非直接给标准答案</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PED_FX_004</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部分正确时保留正确部分，仅追当前缺口</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PED_FX_005</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正确后提高证据要求而非机械重复</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PED_FX_006</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禁止固定题序列</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PED_FX_007</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稳定掌握后停止重复</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PED_FX_008</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socratic</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按 target_hint_levels 分层提示</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PED_FX_010</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feynman</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学生自主表达前置</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PED_FX_011</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feynman</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输出至少包含概念、因果和例子证据</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PED_FX_012</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feynman</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进行条件变化或迁移检验</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PED_FX_013</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feedback</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反馈必须由真实 evidence_refs 支持</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PED_FX_014</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assessment</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表达流畅不得覆盖概念错误</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PED_FX_015</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cross_phase</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200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high</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重大漏洞回退对应 Question Group</w:t>
            </w:r>
          </w:p>
        </w:tc>
      </w:tr>
      <w:tr>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PED_FX_018</w:t>
            </w:r>
          </w:p>
        </w:tc>
        <w:tc>
          <w:tcPr>
            <w:tcW w:type="dxa" w:w="1701"/>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cross_phase</w:t>
            </w:r>
          </w:p>
        </w:tc>
        <w:tc>
          <w:tcPr>
            <w:tcW w:type="dxa" w:w="1134"/>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300</w:t>
            </w:r>
          </w:p>
        </w:tc>
        <w:tc>
          <w:tcPr>
            <w:tcW w:type="dxa" w:w="1417"/>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critical</w:t>
            </w:r>
          </w:p>
        </w:tc>
        <w:tc>
          <w:tcPr>
            <w:tcW w:type="dxa" w:w="4535"/>
            <w:vAlign w:val="center"/>
            <w:tcBorders>
              <w:top w:val="single" w:sz="4" w:color="A7A7A7"/>
              <w:left w:val="single" w:sz="4" w:color="A7A7A7"/>
              <w:bottom w:val="single" w:sz="4" w:color="A7A7A7"/>
              <w:right w:val="single" w:sz="4" w:color="A7A7A7"/>
              <w:insideH w:val="single" w:sz="4" w:color="A7A7A7"/>
              <w:insideV w:val="single" w:sz="4" w:color="A7A7A7"/>
            </w:tcBorders>
          </w:tcPr>
          <w:p>
            <w:pPr>
              <w:spacing w:after="0"/>
            </w:pPr>
            <w:r>
              <w:rPr>
                <w:rFonts w:ascii="Noto Sans CJK SC" w:hAnsi="Noto Sans CJK SC" w:eastAsia="Noto Sans CJK SC"/>
                <w:b w:val="0"/>
                <w:sz w:val="16"/>
              </w:rPr>
              <w:t>证据真实性规则优先于教学推进</w:t>
            </w:r>
          </w:p>
        </w:tc>
      </w:tr>
    </w:tbl>
    <w:p>
      <w:pPr>
        <w:spacing w:after="20"/>
      </w:pPr>
    </w:p>
    <w:p>
      <w:pPr>
        <w:spacing w:before="160" w:after="100"/>
      </w:pPr>
      <w:r>
        <w:rPr>
          <w:rFonts w:ascii="Noto Sans CJK SC" w:hAnsi="Noto Sans CJK SC" w:eastAsia="Noto Sans CJK SC"/>
          <w:b/>
          <w:color w:val="2F5F8F"/>
          <w:sz w:val="27"/>
        </w:rPr>
        <w:t>五、提示级别与失败处理</w:t>
      </w:r>
    </w:p>
    <w:p>
      <w:pPr>
        <w:ind w:left="170" w:hanging="113"/>
      </w:pPr>
      <w:r>
        <w:rPr>
          <w:rFonts w:ascii="Noto Sans CJK SC" w:hAnsi="Noto Sans CJK SC" w:eastAsia="Noto Sans CJK SC"/>
          <w:b w:val="0"/>
          <w:sz w:val="20"/>
        </w:rPr>
        <w:t>• Level 0：开放问题，不提供答案方向。</w:t>
      </w:r>
    </w:p>
    <w:p>
      <w:pPr>
        <w:ind w:left="170" w:hanging="113"/>
      </w:pPr>
      <w:r>
        <w:rPr>
          <w:rFonts w:ascii="Noto Sans CJK SC" w:hAnsi="Noto Sans CJK SC" w:eastAsia="Noto Sans CJK SC"/>
          <w:b w:val="0"/>
          <w:sz w:val="20"/>
        </w:rPr>
        <w:t>• Level 1：指出需要关注的变量或关系，但不替学生完成判断。</w:t>
      </w:r>
    </w:p>
    <w:p>
      <w:pPr>
        <w:ind w:left="170" w:hanging="113"/>
      </w:pPr>
      <w:r>
        <w:rPr>
          <w:rFonts w:ascii="Noto Sans CJK SC" w:hAnsi="Noto Sans CJK SC" w:eastAsia="Noto Sans CJK SC"/>
          <w:b w:val="0"/>
          <w:sz w:val="20"/>
        </w:rPr>
        <w:t>• Level 2：给出局部结构、对比条件或半成品因果链，仍保留关键结论给学生完成。</w:t>
      </w:r>
    </w:p>
    <w:p>
      <w:pPr>
        <w:ind w:left="170" w:hanging="113"/>
      </w:pPr>
      <w:r>
        <w:rPr>
          <w:rFonts w:ascii="Noto Sans CJK SC" w:hAnsi="Noto Sans CJK SC" w:eastAsia="Noto Sans CJK SC"/>
          <w:b w:val="0"/>
          <w:sz w:val="20"/>
        </w:rPr>
        <w:t>• 连续冲突或无法判断时，不继续堆叠提示；转 NEED_VERIFY / NEED_TEACHER_REVIEW。</w:t>
      </w:r>
    </w:p>
    <w:sectPr w:rsidR="00FC693F" w:rsidRPr="0006063C" w:rsidSect="00034616">
      <w:footerReference w:type="default" r:id="rId9"/>
      <w:pgSz w:w="12240" w:h="15840"/>
      <w:pgMar w:top="850" w:right="935" w:bottom="850"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color w:val="888888"/>
        <w:sz w:val="16"/>
      </w:rPr>
      <w:t>汇率风险｜v1.2.1｜03/08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