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汇率风险：案例库设计（结构化修订版）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Case Bank｜基础案例、反例、迁移案例与 Expected Reasoning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DOC_FX_06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是，建议作为独立案例库检索；机制标签不直接展示给学生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本版案例均为 synthetic（教学构造），用于训练机制识别与迁移，不应被当作真实历史事件。若后续加入 historical / adapted 案例，应补充来源与审核字段。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二、案例对象统一字段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 ID，例如 CASE_FX_001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historical / adapted / teacher_created；本版均 synthetic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counterexample / transfer / comprehensive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variant_group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同机制变体组，用于曝光控制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Knowledge Unit / Competency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student_visible_context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AI/教师端可见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 / excellent_answer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最低/高水平推理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只路由到正式 Question Group / KU / Competency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三、案例库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CASE_FX_001｜美元应收账款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VG_FX_01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出口企业三个月后收取美元货款，成本主要以人民币支付。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外币应收应付暴露；货币错配；进口成本与出口收入；对冲与基差/期限匹配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先判断净美元多头，再分析人民币升值时本币收入下降。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缺失→SQG_FX_002；若概念边界错误→SQG_FX_001/002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CASE_FX_002｜外币债务错配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VG_FX_02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企业收入主要为本币，但借入大量美元债务。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外币应收应付暴露；货币错配；进口成本与出口收入；对冲与基差/期限匹配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识别本币贬值导致偿债成本上升。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缺失→SQG_FX_003；若概念边界错误→SQG_FX_001/002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CASE_FX_003｜进口与出口同时存在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VG_FX_03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企业既有美元出口收入又有美元原材料采购。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外币应收应付暴露；货币错配；进口成本与出口收入；对冲与基差/期限匹配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识别自然对冲并计算/判断净暴露方向。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缺失→SQG_FX_004；若概念边界错误→SQG_FX_001/002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CASE_FX_004｜跨国子公司折算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VG_FX_04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海外子公司报表以外币计价，母公司合并报表需折算。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外币应收应付暴露；货币错配；进口成本与出口收入；对冲与基差/期限匹配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区分折算波动与经营现金流。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缺失→SQG_FX_005；若概念边界错误→SQG_FX_001/002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CASE_FX_005｜远期套保不足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counterexample / VG_FX_05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A_FX_001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企业按预计订单金额做远期，但实际出口金额明显减少。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外币应收应付暴露；货币错配；进口成本与出口收入；对冲与基差/期限匹配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说明套保比率和预测误差带来的残余暴露。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缺失→SQG_FX_006；若概念边界错误→SQG_FX_001/002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