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SC" w:hAnsi="Noto Sans CJK SC" w:eastAsia="Noto Sans CJK SC"/>
          <w:b/>
          <w:sz w:val="36"/>
        </w:rPr>
        <w:t>利率风险：整体规划与教学蓝图（结构化修订版）</w:t>
      </w:r>
    </w:p>
    <w:p>
      <w:pPr>
        <w:spacing w:after="200"/>
        <w:jc w:val="center"/>
      </w:pPr>
      <w:r>
        <w:rPr>
          <w:rFonts w:ascii="Noto Sans CJK SC" w:hAnsi="Noto Sans CJK SC" w:eastAsia="Noto Sans CJK SC"/>
          <w:b w:val="0"/>
          <w:color w:val="555555"/>
          <w:sz w:val="19"/>
        </w:rPr>
        <w:t>Canonical Knowledge Specification｜知识边界、Knowledge Units、关系与掌握标准</w:t>
      </w:r>
    </w:p>
    <w:p>
      <w:pPr>
        <w:spacing w:before="160" w:after="100"/>
      </w:pPr>
      <w:r>
        <w:rPr>
          <w:rFonts w:ascii="Noto Sans CJK SC" w:hAnsi="Noto Sans CJK SC" w:eastAsia="Noto Sans CJK SC"/>
          <w:b/>
          <w:color w:val="2F5F8F"/>
          <w:sz w:val="27"/>
        </w:rPr>
        <w:t>一、文档定位与元数据</w:t>
      </w:r>
    </w:p>
    <w:p>
      <w:pPr>
        <w:ind w:firstLine="420"/>
      </w:pPr>
      <w:r>
        <w:rPr>
          <w:rFonts w:ascii="Noto Sans CJK SC" w:hAnsi="Noto Sans CJK SC" w:eastAsia="Noto Sans CJK SC"/>
          <w:b w:val="0"/>
          <w:sz w:val="21"/>
        </w:rPr>
        <w:t>本文件作为“利率风险（Interest Rate Risk）”知识点的知识规范总纲，只管理学科知识边界及其结构化表达。学习流程、诊断规则、提问规则、案例、评分和 Prompt 分别由 02–08 管理，避免学科知识与教学行为混写。</w:t>
      </w:r>
    </w:p>
    <w:tbl>
      <w:tblPr>
        <w:tblStyle w:val="TableGrid"/>
        <w:tblW w:type="auto" w:w="0"/>
        <w:jc w:val="center"/>
        <w:tblLayout w:type="autofit"/>
        <w:tblLook w:firstColumn="1" w:firstRow="1" w:lastColumn="0" w:lastRow="0" w:noHBand="0" w:noVBand="1" w:val="04A0"/>
      </w:tblPr>
      <w:tblGrid>
        <w:gridCol w:w="5185"/>
        <w:gridCol w:w="5185"/>
      </w:tblGrid>
      <w:tr>
        <w:tc>
          <w:tcPr>
            <w:tcW w:type="dxa" w:w="232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字段</w:t>
            </w:r>
          </w:p>
        </w:tc>
        <w:tc>
          <w:tcPr>
            <w:tcW w:type="dxa" w:w="69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值</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document_id</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DOC_IR_01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title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利率风险：Canonical Knowledge / Knowledge Point Blueprint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spec_version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runtime_current_version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Canonical Knowledge / Knowledge Point Blueprint Runtime 1.1（按实现审计）</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target_runtime_version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Canonical Knowledge / Knowledge Point Blueprint Spec 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draft（待教师审核）</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source_type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internal_design</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source_scope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以原系统性风险 01–08 文档架构为模板，学科内容重构为利率风险；未将教学构造案例当作真实事件。</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updated_at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2026-09-14</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role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Canonical Knowledge / Knowledge Point Blueprint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ordinary_RAG</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是，核心知识来源</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content_status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runtime_environment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development_override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true（仅开发环境）</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production_gate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仅 status=published 可进入生产学生会话</w:t>
            </w:r>
          </w:p>
        </w:tc>
      </w:tr>
    </w:tbl>
    <w:p>
      <w:pPr>
        <w:spacing w:after="20"/>
      </w:pPr>
    </w:p>
    <w:p>
      <w:pPr>
        <w:spacing w:before="160" w:after="100"/>
      </w:pPr>
      <w:r>
        <w:rPr>
          <w:rFonts w:ascii="Noto Sans CJK SC" w:hAnsi="Noto Sans CJK SC" w:eastAsia="Noto Sans CJK SC"/>
          <w:b/>
          <w:color w:val="2F5F8F"/>
          <w:sz w:val="27"/>
        </w:rPr>
        <w:t>二、知识点定位与学习目标</w:t>
      </w:r>
    </w:p>
    <w:p>
      <w:pPr>
        <w:ind w:firstLine="420"/>
      </w:pPr>
      <w:r>
        <w:rPr>
          <w:rFonts w:ascii="Noto Sans CJK SC" w:hAnsi="Noto Sans CJK SC" w:eastAsia="Noto Sans CJK SC"/>
          <w:b w:val="0"/>
          <w:sz w:val="21"/>
        </w:rPr>
        <w:t>知识点 ID：KP_INTEREST_RATE_RISK。适用于金融学、金融风险管理、商业银行经营管理、投资学与宏观金融等本科课程，定位为“概念理解 + 机制分析 + 案例迁移”型知识点。</w:t>
      </w:r>
    </w:p>
    <w:p>
      <w:pPr>
        <w:ind w:left="170" w:hanging="113"/>
      </w:pPr>
      <w:r>
        <w:rPr>
          <w:rFonts w:ascii="Noto Sans CJK SC" w:hAnsi="Noto Sans CJK SC" w:eastAsia="Noto Sans CJK SC"/>
          <w:b w:val="0"/>
          <w:sz w:val="20"/>
        </w:rPr>
        <w:t>1. 用自己的语言解释利率风险并指出暴露来自资产负债或现金流对利率变化的敏感性。</w:t>
      </w:r>
    </w:p>
    <w:p>
      <w:pPr>
        <w:ind w:left="170" w:hanging="113"/>
      </w:pPr>
      <w:r>
        <w:rPr>
          <w:rFonts w:ascii="Noto Sans CJK SC" w:hAnsi="Noto Sans CJK SC" w:eastAsia="Noto Sans CJK SC"/>
          <w:b w:val="0"/>
          <w:sz w:val="20"/>
        </w:rPr>
        <w:t>2. 解释重定价风险、收益率曲线风险、基差风险和期权风险。</w:t>
      </w:r>
    </w:p>
    <w:p>
      <w:pPr>
        <w:ind w:left="170" w:hanging="113"/>
      </w:pPr>
      <w:r>
        <w:rPr>
          <w:rFonts w:ascii="Noto Sans CJK SC" w:hAnsi="Noto Sans CJK SC" w:eastAsia="Noto Sans CJK SC"/>
          <w:b w:val="0"/>
          <w:sz w:val="20"/>
        </w:rPr>
        <w:t>3. 理解固定利率与浮动利率工具在利率变化下的差异。</w:t>
      </w:r>
    </w:p>
    <w:p>
      <w:pPr>
        <w:ind w:left="170" w:hanging="113"/>
      </w:pPr>
      <w:r>
        <w:rPr>
          <w:rFonts w:ascii="Noto Sans CJK SC" w:hAnsi="Noto Sans CJK SC" w:eastAsia="Noto Sans CJK SC"/>
          <w:b w:val="0"/>
          <w:sz w:val="20"/>
        </w:rPr>
        <w:t>4. 使用期限、重定价缺口与久期等概念解释方向性风险，不把单一指标当作万能结论。</w:t>
      </w:r>
    </w:p>
    <w:p>
      <w:pPr>
        <w:ind w:left="170" w:hanging="113"/>
      </w:pPr>
      <w:r>
        <w:rPr>
          <w:rFonts w:ascii="Noto Sans CJK SC" w:hAnsi="Noto Sans CJK SC" w:eastAsia="Noto Sans CJK SC"/>
          <w:b w:val="0"/>
          <w:sz w:val="20"/>
        </w:rPr>
        <w:t>5. 区分净利息收入（NII）与经济价值（EVE/现值）两种分析视角。</w:t>
      </w:r>
    </w:p>
    <w:p>
      <w:pPr>
        <w:ind w:left="170" w:hanging="113"/>
      </w:pPr>
      <w:r>
        <w:rPr>
          <w:rFonts w:ascii="Noto Sans CJK SC" w:hAnsi="Noto Sans CJK SC" w:eastAsia="Noto Sans CJK SC"/>
          <w:b w:val="0"/>
          <w:sz w:val="20"/>
        </w:rPr>
        <w:t>6. 在银行、债券投资、企业融资等陌生案例中建立“利率冲击→头寸敏感性→损益/价值变化”的风险链。</w:t>
      </w:r>
    </w:p>
    <w:p>
      <w:pPr>
        <w:spacing w:before="160" w:after="100"/>
      </w:pPr>
      <w:r>
        <w:rPr>
          <w:rFonts w:ascii="Noto Sans CJK SC" w:hAnsi="Noto Sans CJK SC" w:eastAsia="Noto Sans CJK SC"/>
          <w:b/>
          <w:color w:val="2F5F8F"/>
          <w:sz w:val="27"/>
        </w:rPr>
        <w:t>三、知识边界</w:t>
      </w:r>
    </w:p>
    <w:p>
      <w:pPr>
        <w:ind w:left="170" w:hanging="113"/>
      </w:pPr>
      <w:r>
        <w:rPr>
          <w:rFonts w:ascii="Noto Sans CJK SC" w:hAnsi="Noto Sans CJK SC" w:eastAsia="Noto Sans CJK SC"/>
          <w:b w:val="0"/>
          <w:sz w:val="20"/>
        </w:rPr>
        <w:t>• 由于市场利率水平、期限结构或相关基准利率关系发生变化，使金融资产、负债、现金流、净利息收入或经济价值出现不利变动的风险。</w:t>
      </w:r>
    </w:p>
    <w:p>
      <w:pPr>
        <w:ind w:left="170" w:hanging="113"/>
      </w:pPr>
      <w:r>
        <w:rPr>
          <w:rFonts w:ascii="Noto Sans CJK SC" w:hAnsi="Noto Sans CJK SC" w:eastAsia="Noto Sans CJK SC"/>
          <w:b w:val="0"/>
          <w:sz w:val="20"/>
        </w:rPr>
        <w:t>• 不把“利率变化”本身直接等同于“损失”；风险取决于头寸方向、期限、重定价方式和可选性。</w:t>
      </w:r>
    </w:p>
    <w:p>
      <w:pPr>
        <w:ind w:left="170" w:hanging="113"/>
      </w:pPr>
      <w:r>
        <w:rPr>
          <w:rFonts w:ascii="Noto Sans CJK SC" w:hAnsi="Noto Sans CJK SC" w:eastAsia="Noto Sans CJK SC"/>
          <w:b w:val="0"/>
          <w:sz w:val="20"/>
        </w:rPr>
        <w:t>• 区分收益视角（净利息收入）与价值视角（资产/负债现值或经济价值）。</w:t>
      </w:r>
    </w:p>
    <w:p>
      <w:pPr>
        <w:ind w:left="170" w:hanging="113"/>
      </w:pPr>
      <w:r>
        <w:rPr>
          <w:rFonts w:ascii="Noto Sans CJK SC" w:hAnsi="Noto Sans CJK SC" w:eastAsia="Noto Sans CJK SC"/>
          <w:b w:val="0"/>
          <w:sz w:val="20"/>
        </w:rPr>
        <w:t>• 区分一般利率水平变动、收益率曲线变动、基差变动与期权性行为。</w:t>
      </w:r>
    </w:p>
    <w:p>
      <w:pPr>
        <w:spacing w:before="160" w:after="100"/>
      </w:pPr>
      <w:r>
        <w:rPr>
          <w:rFonts w:ascii="Noto Sans CJK SC" w:hAnsi="Noto Sans CJK SC" w:eastAsia="Noto Sans CJK SC"/>
          <w:b/>
          <w:color w:val="2F5F8F"/>
          <w:sz w:val="27"/>
        </w:rPr>
        <w:t>四、Knowledge Units（知识单元）</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53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ID</w:t>
            </w:r>
          </w:p>
        </w:tc>
        <w:tc>
          <w:tcPr>
            <w:tcW w:type="dxa" w:w="226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名称/类型</w:t>
            </w:r>
          </w:p>
        </w:tc>
        <w:tc>
          <w:tcPr>
            <w:tcW w:type="dxa" w:w="311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核心内容</w:t>
            </w:r>
          </w:p>
        </w:tc>
        <w:tc>
          <w:tcPr>
            <w:tcW w:type="dxa" w:w="300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掌握标准</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C_IR_001</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利率风险定义</w:t>
              <w:br/>
              <w:t>[概念]</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利率变化通过资产负债或现金流敏感性引发不利损益/价值变化。</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能指出“利率变化 + 暴露结构 + 不利结果”三要素。</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C_IR_002</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收益视角与价值视角</w:t>
              <w:br/>
              <w:t>[概念辨析]</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净利息收入关注一定期间内收入成本变化；价值视角关注未来现金流现值变化。</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能解释二者可能给出不同风险信号。</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M_IR_001</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重定价风险</w:t>
              <w:br/>
              <w:t>[机制]</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资产与负债重定价时点或期限不匹配，使利率变化对收入成本影响不同步。</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能根据资产/负债重定价方向判断可能影响。</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M_IR_002</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收益率曲线风险</w:t>
              <w:br/>
              <w:t>[机制]</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不同期限利率变化幅度不同或曲线形态变化，影响不同期限头寸价值与收益。</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能识别“平移”之外的陡峭化/扁平化风险。</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M_IR_003</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基差风险</w:t>
              <w:br/>
              <w:t>[机制]</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不同定价基准或相关利率之间关系变化，导致原有对冲或利差关系失效。</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能说明“同涨同跌”不代表基差风险为零。</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M_IR_004</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期权风险</w:t>
              <w:br/>
              <w:t>[机制]</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提前还款、提前支取、赎回等行为会随利率变化而变化，改变实际现金流。</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能识别客户行为嵌入的可选性。</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A_IR_001</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缺口与久期分析</w:t>
              <w:br/>
              <w:t>[分析]</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重定价缺口侧重收入敏感性；久期侧重价值对利率变化的敏感性。</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能说明指标适用边界并避免机械套用。</w:t>
            </w:r>
          </w:p>
        </w:tc>
      </w:tr>
      <w:tr>
        <w:tc>
          <w:tcPr>
            <w:tcW w:type="dxa" w:w="153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COMP_IR_001</w:t>
            </w:r>
          </w:p>
        </w:tc>
        <w:tc>
          <w:tcPr>
            <w:tcW w:type="dxa" w:w="226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案例迁移能力</w:t>
              <w:br/>
              <w:t>[能力]</w:t>
            </w:r>
          </w:p>
        </w:tc>
        <w:tc>
          <w:tcPr>
            <w:tcW w:type="dxa" w:w="311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把利率冲击、头寸结构、传导方向和结果连成逻辑链。</w:t>
            </w:r>
          </w:p>
        </w:tc>
        <w:tc>
          <w:tcPr>
            <w:tcW w:type="dxa" w:w="300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能在新案例中根据条件变化修正判断。</w:t>
            </w:r>
          </w:p>
        </w:tc>
      </w:tr>
    </w:tbl>
    <w:p>
      <w:pPr>
        <w:spacing w:after="20"/>
      </w:pPr>
    </w:p>
    <w:p>
      <w:pPr>
        <w:spacing w:before="160" w:after="100"/>
      </w:pPr>
      <w:r>
        <w:rPr>
          <w:rFonts w:ascii="Noto Sans CJK SC" w:hAnsi="Noto Sans CJK SC" w:eastAsia="Noto Sans CJK SC"/>
          <w:b/>
          <w:color w:val="2F5F8F"/>
          <w:sz w:val="27"/>
        </w:rPr>
        <w:t>五、Knowledge Relations（关系）</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from</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relation</w:t>
            </w:r>
          </w:p>
        </w:tc>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to</w:t>
            </w:r>
          </w:p>
        </w:tc>
        <w:tc>
          <w:tcPr>
            <w:tcW w:type="dxa" w:w="453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关系说明</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M_IR_001</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causes</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A_IR_001</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重定价错配决定收入敏感性</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M_IR_002</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affects</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A_IR_001</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曲线变化可能使单一平行冲击假设失效</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M_IR_004</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amplifies</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M_IR_001</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客户期权改变实际重定价期限</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C_IR_002</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contrasts_with</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A_IR_001</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收益与价值指标需分开解释</w:t>
            </w:r>
          </w:p>
        </w:tc>
      </w:tr>
    </w:tbl>
    <w:p>
      <w:pPr>
        <w:spacing w:after="20"/>
      </w:pPr>
    </w:p>
    <w:p>
      <w:pPr>
        <w:spacing w:before="160" w:after="100"/>
      </w:pPr>
      <w:r>
        <w:rPr>
          <w:rFonts w:ascii="Noto Sans CJK SC" w:hAnsi="Noto Sans CJK SC" w:eastAsia="Noto Sans CJK SC"/>
          <w:b/>
          <w:color w:val="2F5F8F"/>
          <w:sz w:val="27"/>
        </w:rPr>
        <w:t>六、Canonical Misconception / Gap</w:t>
      </w:r>
    </w:p>
    <w:p>
      <w:pPr>
        <w:spacing w:before="100" w:after="60"/>
      </w:pPr>
      <w:r>
        <w:rPr>
          <w:rFonts w:ascii="Noto Sans CJK SC" w:hAnsi="Noto Sans CJK SC" w:eastAsia="Noto Sans CJK SC"/>
          <w:b/>
          <w:color w:val="2F5F8F"/>
          <w:sz w:val="23"/>
        </w:rPr>
        <w:t>6.1 典型 misconception</w:t>
      </w:r>
    </w:p>
    <w:tbl>
      <w:tblPr>
        <w:tblStyle w:val="TableGrid"/>
        <w:tblW w:type="auto" w:w="0"/>
        <w:jc w:val="center"/>
        <w:tblLayout w:type="autofit"/>
        <w:tblLook w:firstColumn="1" w:firstRow="1" w:lastColumn="0" w:lastRow="0" w:noHBand="0" w:noVBand="1" w:val="04A0"/>
      </w:tblPr>
      <w:tblGrid>
        <w:gridCol w:w="3457"/>
        <w:gridCol w:w="3457"/>
        <w:gridCol w:w="3457"/>
      </w:tblGrid>
      <w:tr>
        <w:tc>
          <w:tcPr>
            <w:tcW w:type="dxa" w:w="232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error_id</w:t>
            </w:r>
          </w:p>
        </w:tc>
        <w:tc>
          <w:tcPr>
            <w:tcW w:type="dxa" w:w="283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典型错误</w:t>
            </w:r>
          </w:p>
        </w:tc>
        <w:tc>
          <w:tcPr>
            <w:tcW w:type="dxa" w:w="419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问题所在</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ERR_IR_001_RATE_UP_ALWAYS_BAD</w:t>
            </w:r>
          </w:p>
        </w:tc>
        <w:tc>
          <w:tcPr>
            <w:tcW w:type="dxa" w:w="28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“加息一定造成损失”</w:t>
            </w:r>
          </w:p>
        </w:tc>
        <w:tc>
          <w:tcPr>
            <w:tcW w:type="dxa" w:w="419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忽略资产负债方向与重定价结构。</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ERR_IR_002_BOND_ONLY</w:t>
            </w:r>
          </w:p>
        </w:tc>
        <w:tc>
          <w:tcPr>
            <w:tcW w:type="dxa" w:w="28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“利率风险只存在于债券”</w:t>
            </w:r>
          </w:p>
        </w:tc>
        <w:tc>
          <w:tcPr>
            <w:tcW w:type="dxa" w:w="419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忽略银行资产负债、贷款、存款和企业融资。</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ERR_IR_003_GAP_IS_ENOUGH</w:t>
            </w:r>
          </w:p>
        </w:tc>
        <w:tc>
          <w:tcPr>
            <w:tcW w:type="dxa" w:w="28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“只看一个缺口就能判断全部利率风险”</w:t>
            </w:r>
          </w:p>
        </w:tc>
        <w:tc>
          <w:tcPr>
            <w:tcW w:type="dxa" w:w="419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忽略曲线、基差、期权和价值视角。</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ERR_IR_004_FIXED_ALWAYS_RISKIER</w:t>
            </w:r>
          </w:p>
        </w:tc>
        <w:tc>
          <w:tcPr>
            <w:tcW w:type="dxa" w:w="28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“固定利率工具必然比浮动利率工具风险大”</w:t>
            </w:r>
          </w:p>
        </w:tc>
        <w:tc>
          <w:tcPr>
            <w:tcW w:type="dxa" w:w="419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忽略头寸方向、期限与匹配关系。</w:t>
            </w:r>
          </w:p>
        </w:tc>
      </w:tr>
    </w:tbl>
    <w:p>
      <w:pPr>
        <w:spacing w:after="20"/>
      </w:pPr>
    </w:p>
    <w:p>
      <w:pPr>
        <w:spacing w:before="100" w:after="60"/>
      </w:pPr>
      <w:r>
        <w:rPr>
          <w:rFonts w:ascii="Noto Sans CJK SC" w:hAnsi="Noto Sans CJK SC" w:eastAsia="Noto Sans CJK SC"/>
          <w:b/>
          <w:color w:val="2F5F8F"/>
          <w:sz w:val="23"/>
        </w:rPr>
        <w:t>6.2 Knowledge / Skill Gap</w:t>
      </w:r>
    </w:p>
    <w:p>
      <w:pPr>
        <w:ind w:left="170" w:hanging="113"/>
      </w:pPr>
      <w:r>
        <w:rPr>
          <w:rFonts w:ascii="Noto Sans CJK SC" w:hAnsi="Noto Sans CJK SC" w:eastAsia="Noto Sans CJK SC"/>
          <w:b w:val="0"/>
          <w:sz w:val="20"/>
        </w:rPr>
        <w:t>• GAP_IR_REPRICING：对应当前风险知识单元的缺口标签，仅在学生回答有证据时提交。</w:t>
      </w:r>
    </w:p>
    <w:p>
      <w:pPr>
        <w:ind w:left="170" w:hanging="113"/>
      </w:pPr>
      <w:r>
        <w:rPr>
          <w:rFonts w:ascii="Noto Sans CJK SC" w:hAnsi="Noto Sans CJK SC" w:eastAsia="Noto Sans CJK SC"/>
          <w:b w:val="0"/>
          <w:sz w:val="20"/>
        </w:rPr>
        <w:t>• GAP_IR_CURVE：对应当前风险知识单元的缺口标签，仅在学生回答有证据时提交。</w:t>
      </w:r>
    </w:p>
    <w:p>
      <w:pPr>
        <w:ind w:left="170" w:hanging="113"/>
      </w:pPr>
      <w:r>
        <w:rPr>
          <w:rFonts w:ascii="Noto Sans CJK SC" w:hAnsi="Noto Sans CJK SC" w:eastAsia="Noto Sans CJK SC"/>
          <w:b w:val="0"/>
          <w:sz w:val="20"/>
        </w:rPr>
        <w:t>• GAP_IR_BASIS：对应当前风险知识单元的缺口标签，仅在学生回答有证据时提交。</w:t>
      </w:r>
    </w:p>
    <w:p>
      <w:pPr>
        <w:ind w:left="170" w:hanging="113"/>
      </w:pPr>
      <w:r>
        <w:rPr>
          <w:rFonts w:ascii="Noto Sans CJK SC" w:hAnsi="Noto Sans CJK SC" w:eastAsia="Noto Sans CJK SC"/>
          <w:b w:val="0"/>
          <w:sz w:val="20"/>
        </w:rPr>
        <w:t>• GAP_IR_OPTION：对应当前风险知识单元的缺口标签，仅在学生回答有证据时提交。</w:t>
      </w:r>
    </w:p>
    <w:p>
      <w:pPr>
        <w:ind w:left="170" w:hanging="113"/>
      </w:pPr>
      <w:r>
        <w:rPr>
          <w:rFonts w:ascii="Noto Sans CJK SC" w:hAnsi="Noto Sans CJK SC" w:eastAsia="Noto Sans CJK SC"/>
          <w:b w:val="0"/>
          <w:sz w:val="20"/>
        </w:rPr>
        <w:t>• GAP_IR_NII_EVE：对应当前风险知识单元的缺口标签，仅在学生回答有证据时提交。</w:t>
      </w:r>
    </w:p>
    <w:p>
      <w:pPr>
        <w:spacing w:before="160" w:after="100"/>
      </w:pPr>
      <w:r>
        <w:rPr>
          <w:rFonts w:ascii="Noto Sans CJK SC" w:hAnsi="Noto Sans CJK SC" w:eastAsia="Noto Sans CJK SC"/>
          <w:b/>
          <w:color w:val="2F5F8F"/>
          <w:sz w:val="27"/>
        </w:rPr>
        <w:t>七、Mastery Evidence 与发布边界</w:t>
      </w:r>
    </w:p>
    <w:p>
      <w:pPr>
        <w:ind w:left="170" w:hanging="113"/>
      </w:pPr>
      <w:r>
        <w:rPr>
          <w:rFonts w:ascii="Noto Sans CJK SC" w:hAnsi="Noto Sans CJK SC" w:eastAsia="Noto Sans CJK SC"/>
          <w:b w:val="0"/>
          <w:sz w:val="20"/>
        </w:rPr>
        <w:t>• 最低掌握：定义方向正确，能指出至少一个核心机制，并能在给定案例中判断风险方向。</w:t>
      </w:r>
    </w:p>
    <w:p>
      <w:pPr>
        <w:ind w:left="170" w:hanging="113"/>
      </w:pPr>
      <w:r>
        <w:rPr>
          <w:rFonts w:ascii="Noto Sans CJK SC" w:hAnsi="Noto Sans CJK SC" w:eastAsia="Noto Sans CJK SC"/>
          <w:b w:val="0"/>
          <w:sz w:val="20"/>
        </w:rPr>
        <w:t>• 稳定掌握：能在条件变化、反例和陌生案例中保持概念边界，并解释因果链。</w:t>
      </w:r>
    </w:p>
    <w:p>
      <w:pPr>
        <w:ind w:left="170" w:hanging="113"/>
      </w:pPr>
      <w:r>
        <w:rPr>
          <w:rFonts w:ascii="Noto Sans CJK SC" w:hAnsi="Noto Sans CJK SC" w:eastAsia="Noto Sans CJK SC"/>
          <w:b w:val="0"/>
          <w:sz w:val="20"/>
        </w:rPr>
        <w:t>• 高水平掌握：能比较多种机制、识别指标边界、主动说明判断所依赖的前提。</w:t>
      </w:r>
    </w:p>
    <w:p>
      <w:pPr>
        <w:ind w:left="170" w:hanging="113"/>
      </w:pPr>
      <w:r>
        <w:rPr>
          <w:rFonts w:ascii="Noto Sans CJK SC" w:hAnsi="Noto Sans CJK SC" w:eastAsia="Noto Sans CJK SC"/>
          <w:b w:val="0"/>
          <w:sz w:val="20"/>
        </w:rPr>
        <w:t>• 所有教学构造案例均为 synthetic；若后续引入真实案例，需单独记录来源、时间与审核状态。</w:t>
      </w:r>
    </w:p>
    <w:p>
      <w:pPr>
        <w:ind w:left="170" w:hanging="113"/>
      </w:pPr>
      <w:r>
        <w:rPr>
          <w:rFonts w:ascii="Noto Sans CJK SC" w:hAnsi="Noto Sans CJK SC" w:eastAsia="Noto Sans CJK SC"/>
          <w:b w:val="0"/>
          <w:sz w:val="20"/>
        </w:rPr>
        <w:t>• 版本字段与实际运行版本分离；工程实现并通过测试后再更新 runtime_current_version。</w:t>
      </w:r>
    </w:p>
    <w:sectPr w:rsidR="00FC693F" w:rsidRPr="0006063C" w:rsidSect="00034616">
      <w:footerReference w:type="default" r:id="rId9"/>
      <w:pgSz w:w="12240" w:h="15840"/>
      <w:pgMar w:top="850"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888888"/>
        <w:sz w:val="16"/>
      </w:rPr>
      <w:t>利率风险｜v1.2.1｜01/08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