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政策风险：案例库设计（结构化修订版）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Case Bank｜基础案例、反例、迁移案例与 Expected Reasoning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DOC_POL_06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政策风险：Case Bank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 Bank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 Bank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文档架构为模板，学科内容重构为政策风险；未将教学构造案例当作真实事件。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 Bank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是，建议作为独立案例库检索；机制标签不直接展示给学生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本版案例均为 synthetic（教学构造），用于训练机制识别与迁移，不应被当作真实历史事件。若后续加入 historical / adapted 案例，应补充来源与审核字段。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二、案例对象统一字段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55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80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case_id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稳定 ID，例如 CASE_POL_001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historical / adapted / teacher_created；本版均 synthetic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basic / counterexample / transfer / comprehensive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variant_group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同机制变体组，用于曝光控制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difficulty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1–3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 01 Knowledge Unit / Competency ID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student_visible_context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AI/教师端可见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 / excellent_answer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最低/高水平推理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只路由到正式 Question Group / KU / Competency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三、案例库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CASE_POL_001｜政策利率上调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1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basic / VG_POL_01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M_POL_001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融资依赖短期浮动利率贷款的企业遇到政策利率连续上调。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货币政策渠道；财政与税收渠道；监管与合规渠道；产业/贸易政策渠道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建立政策利率—融资成本—利润/投资链。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缺失→SQG_POL_002；若概念边界错误→SQG_POL_001/002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CASE_POL_002｜补贴退坡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2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basic / VG_POL_02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M_POL_002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某行业原有购置补贴逐步减少，同时市场竞争加剧。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货币政策渠道；财政与税收渠道；监管与合规渠道；产业/贸易政策渠道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识别需求与盈利模型对政策依赖。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缺失→SQG_POL_003；若概念边界错误→SQG_POL_001/002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CASE_POL_003｜监管资本要求提高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2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transfer / VG_POL_03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M_POL_003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金融机构需提高资本充足水平并调整高风险资产。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货币政策渠道；财政与税收渠道；监管与合规渠道；产业/贸易政策渠道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分析合规约束、资产配置和信贷供给。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缺失→SQG_POL_004；若概念边界错误→SQG_POL_001/002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CASE_POL_004｜关税政策变化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3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transfer / VG_POL_04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M_POL_004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企业关键原材料进口关税上调，而替代供应商短期有限。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货币政策渠道；财政与税收渠道；监管与合规渠道；产业/贸易政策渠道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识别进口成本和供应链二阶影响。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缺失→SQG_POL_005；若概念边界错误→SQG_POL_001/002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CASE_POL_005｜政策尚未落地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3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counterexample / VG_POL_05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A_POL_001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市场出现关于某行业新规的多种版本，但正式细则尚未发布。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货币政策渠道；财政与税收渠道；监管与合规渠道；产业/贸易政策渠道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区分已确定政策冲击与不确定性风险。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缺失→SQG_POL_006；若概念边界错误→SQG_POL_001/002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政策风险｜v1.2.1｜06/08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