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sz w:val="36"/>
        </w:rPr>
        <w:t>汇率风险：评价反馈与学习报告规则（修订版）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color w:val="555555"/>
          <w:sz w:val="19"/>
        </w:rPr>
        <w:t>Rubric / Assessment Rule｜评分锚点、封顶规则、证据与一致性测试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一、文档定位与元数据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值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document_id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DOC_FX_07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title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汇率风险：Rubric / Assessment Rule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spec_version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runtime_current_version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Rubric / Assessment Rule Runtime 1.1（按实现审计）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target_runtime_version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Rubric / Assessment Rule Spec 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draft（待教师审核）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source_type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internal_design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source_scope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以原系统性风险 01–08 文档架构为模板，学科内容重构为汇率风险；未将教学构造案例当作真实事件。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updated_at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2026-09-14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Rubric / Assessment Rule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ordinary_RAG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否；作为规则/结构化对象调用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content_status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runtime_environment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development_override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true（仅开发环境）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production_gate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status=published 可进入生产学生会话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二、五维评价框架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1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维度</w:t>
            </w:r>
          </w:p>
        </w:tc>
        <w:tc>
          <w:tcPr>
            <w:tcW w:type="dxa" w:w="850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满分</w:t>
            </w:r>
          </w:p>
        </w:tc>
        <w:tc>
          <w:tcPr>
            <w:tcW w:type="dxa" w:w="3969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高水平表现</w:t>
            </w:r>
          </w:p>
        </w:tc>
        <w:tc>
          <w:tcPr>
            <w:tcW w:type="dxa" w:w="3969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主要扣分点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概念完整度</w:t>
            </w:r>
          </w:p>
        </w:tc>
        <w:tc>
          <w:tcPr>
            <w:tcW w:type="dxa" w:w="85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准确说明汇率风险的定义、边界与核心对象。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混淆概念边界；仅描述现象不说明暴露。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逻辑完整度</w:t>
            </w:r>
          </w:p>
        </w:tc>
        <w:tc>
          <w:tcPr>
            <w:tcW w:type="dxa" w:w="85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形成“变化/冲击→暴露→机制→结果”的清晰因果链。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只罗列术语，没有因果关系。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表达清晰度</w:t>
            </w:r>
          </w:p>
        </w:tc>
        <w:tc>
          <w:tcPr>
            <w:tcW w:type="dxa" w:w="85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能用自己的语言分层解释，非专业听众也能理解。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照搬定义、术语堆叠或前后矛盾。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举例能力</w:t>
            </w:r>
          </w:p>
        </w:tc>
        <w:tc>
          <w:tcPr>
            <w:tcW w:type="dxa" w:w="85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案例关键步骤能对应汇率风险机制。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只报场景名称，不能解释风险方向。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迁移应用能力</w:t>
            </w:r>
          </w:p>
        </w:tc>
        <w:tc>
          <w:tcPr>
            <w:tcW w:type="dxa" w:w="85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能处理陌生案例并根据条件变化修正判断。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只能回答训练中出现过的固定情境。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三、五档评分锚点（0 / 5 / 10 / 15 / 20）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98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维度</w:t>
            </w:r>
          </w:p>
        </w:tc>
        <w:tc>
          <w:tcPr>
            <w:tcW w:type="dxa" w:w="113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锚点分</w:t>
            </w:r>
          </w:p>
        </w:tc>
        <w:tc>
          <w:tcPr>
            <w:tcW w:type="dxa" w:w="6803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可观察表现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核心概念错误，无法形成有效判断。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能提到相关现象，但边界明显不稳，关键条件缺失。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方向基本正确，能说出部分机制，但内容不完整且需要提示。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概念和逻辑较完整，少量环节需追问后补充。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独立、准确、完整，并能在条件变化、反例和新案例中保持一致。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逻辑完整度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核心概念错误，无法形成有效判断。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逻辑完整度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能提到相关现象，但边界明显不稳，关键条件缺失。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逻辑完整度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方向基本正确，能说出部分机制，但内容不完整且需要提示。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逻辑完整度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概念和逻辑较完整，少量环节需追问后补充。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逻辑完整度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独立、准确、完整，并能在条件变化、反例和新案例中保持一致。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表达清晰度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核心概念错误，无法形成有效判断。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表达清晰度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能提到相关现象，但边界明显不稳，关键条件缺失。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表达清晰度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方向基本正确，能说出部分机制，但内容不完整且需要提示。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表达清晰度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概念和逻辑较完整，少量环节需追问后补充。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表达清晰度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独立、准确、完整，并能在条件变化、反例和新案例中保持一致。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举例能力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核心概念错误，无法形成有效判断。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举例能力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能提到相关现象，但边界明显不稳，关键条件缺失。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举例能力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方向基本正确，能说出部分机制，但内容不完整且需要提示。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举例能力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概念和逻辑较完整，少量环节需追问后补充。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举例能力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独立、准确、完整，并能在条件变化、反例和新案例中保持一致。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迁移应用能力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核心概念错误，无法形成有效判断。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迁移应用能力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能提到相关现象，但边界明显不稳，关键条件缺失。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迁移应用能力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方向基本正确，能说出部分机制，但内容不完整且需要提示。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迁移应用能力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概念和逻辑较完整，少量环节需追问后补充。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迁移应用能力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独立、准确、完整，并能在条件变化、反例和新案例中保持一致。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四、核心错误封顶与再练规则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38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error_id</w:t>
            </w:r>
          </w:p>
        </w:tc>
        <w:tc>
          <w:tcPr>
            <w:tcW w:type="dxa" w:w="283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最终回答仍存在的错误</w:t>
            </w:r>
          </w:p>
        </w:tc>
        <w:tc>
          <w:tcPr>
            <w:tcW w:type="dxa" w:w="294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封顶规则</w:t>
            </w:r>
          </w:p>
        </w:tc>
        <w:tc>
          <w:tcPr>
            <w:tcW w:type="dxa" w:w="34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解除条件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ERR_FX_001_DIRECTION_CONFUSION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“看到汇率上升就直接判断本币升值/贬值”</w:t>
            </w:r>
          </w:p>
        </w:tc>
        <w:tc>
          <w:tcPr>
            <w:tcW w:type="dxa" w:w="294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概念完整度最高 10/20；迁移能力最高 10/20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经提示后自主纠正且通过反例/迁移验证，可解除封顶。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ERR_FX_002_EXPORT_ALWAYS_BENEFIT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“本币贬值一定利好所有出口企业”</w:t>
            </w:r>
          </w:p>
        </w:tc>
        <w:tc>
          <w:tcPr>
            <w:tcW w:type="dxa" w:w="294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概念完整度最高 10/20；迁移能力最高 10/20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经提示后自主纠正且通过反例/迁移验证，可解除封顶。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ERR_FX_003_HEDGE_ZERO_RISK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“做了远期就没有任何汇率风险”</w:t>
            </w:r>
          </w:p>
        </w:tc>
        <w:tc>
          <w:tcPr>
            <w:tcW w:type="dxa" w:w="294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逻辑完整度与迁移应用能力原则上不高于 15/20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经提示后自主纠正且通过反例/迁移验证，可解除封顶。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ERR_FX_004_TRANSLATION_EQUALS_CASH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“折算损益一定等于当期现金流损失”</w:t>
            </w:r>
          </w:p>
        </w:tc>
        <w:tc>
          <w:tcPr>
            <w:tcW w:type="dxa" w:w="294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逻辑完整度与迁移应用能力原则上不高于 15/20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经提示后自主纠正且通过反例/迁移验证，可解除封顶。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五、反馈生成与学习报告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只反馈本轮真实暴露的问题，不虚构“知识漏洞”。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优先按“已掌握—待完善—关键追问”组织，不重复完整标准答案。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每个评分维度至少绑定 1 条 evidence_ref；评分与对话证据一致。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学生经提示后能自主纠正的错误不永久封顶。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低置信度或证据冲突时，追加验证或标记 NEED_TEACHER_REVIEW。</w:t>
      </w:r>
    </w:p>
    <w:p>
      <w:pPr>
        <w:spacing w:before="100" w:after="60"/>
      </w:pPr>
      <w:r>
        <w:rPr>
          <w:rFonts w:ascii="Noto Sans CJK SC" w:hAnsi="Noto Sans CJK SC" w:eastAsia="Noto Sans CJK SC"/>
          <w:b/>
          <w:color w:val="2F5F8F"/>
          <w:sz w:val="23"/>
        </w:rPr>
        <w:t>【汇率风险学习报告】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综合评分：XX/100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概念完整度：XX/20；逻辑完整度：XX/20；表达清晰度：XX/20；举例能力：XX/20；迁移应用能力：XX/20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【已经掌握】由 status=mastered 且有 evidence_refs 的 Knowledge Unit 派生。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【待完善】由 gap_states / unresolved misconception 派生。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【下一学习路径】只引用尚未稳定的 target；若证据不足，明确标记需复核。</w:t>
      </w:r>
    </w:p>
    <w:sectPr w:rsidR="00FC693F" w:rsidRPr="0006063C" w:rsidSect="00034616">
      <w:footerReference w:type="default" r:id="rId9"/>
      <w:pgSz w:w="12240" w:h="15840"/>
      <w:pgMar w:top="850" w:right="935" w:bottom="850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汇率风险｜v1.2.1｜07/08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