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通货膨胀风险：案例库设计（结构化修订版）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Case Bank｜基础案例、反例、迁移案例与 Expected Reasoning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DOC_INF_06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通货膨胀风险：Case Bank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文档架构为模板，学科内容重构为通货膨胀风险；未将教学构造案例当作真实事件。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 Bank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是，建议作为独立案例库检索；机制标签不直接展示给学生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本版案例均为 synthetic（教学构造），用于训练机制识别与迁移，不应被当作真实历史事件。若后续加入 historical / adapted 案例，应补充来源与审核字段。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二、案例对象统一字段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case_id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稳定 ID，例如 CASE_INF_001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historical / adapted / teacher_created；本版均 synthetic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counterexample / transfer / comprehensive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variant_group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同机制变体组，用于曝光控制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difficulty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1–3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引用 01 Knowledge Unit / Competency ID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student_visible_context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AI/教师端可见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 / excellent_answer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最低/高水平推理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只路由到正式 Question Group / KU / Competency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三、案例库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CASE_INF_001｜固定利率存款与高通胀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VG_INF_01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居民持有年化固定收益存款，名义利率低于同期物价上涨幅度。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购买力侵蚀；成本传导与利润挤压；预期与合同调整；政策与利率传导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区分名义收益与实际购买力。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缺失→SQG_INF_002；若概念边界错误→SQG_INF_001/002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CASE_INF_002｜成本上涨但无法提价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basic / VG_INF_02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制造企业原材料与工资上涨，但长期合同锁定销售价格。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购买力侵蚀；成本传导与利润挤压；预期与合同调整；政策与利率传导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识别成本传导不充分和利润挤压。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缺失→SQG_INF_003；若概念边界错误→SQG_INF_001/002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CASE_INF_003｜可调价平台企业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2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transfer / VG_INF_03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企业具有较强定价权，可快速调整价格，但需求对价格较敏感。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购买力侵蚀；成本传导与利润挤压；预期与合同调整；政策与利率传导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说明定价权能缓冲成本，但需求弹性可能形成新约束。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缺失→SQG_INF_004；若概念边界错误→SQG_INF_001/002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CASE_INF_004｜固定票息债券组合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transfer / VG_INF_04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M_INF_004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意外通胀上升并伴随市场利率上升，长期固定票息债券价格下跌。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购买力侵蚀；成本传导与利润挤压；预期与合同调整；政策与利率传导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连接通胀、利率与债券估值。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缺失→SQG_INF_005；若概念边界错误→SQG_INF_001/002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CASE_INF_005｜指数化租金合同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case_origin / difficulty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synthetic / 3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case_type / variant_group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counterexample / VG_INF_05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target_concepts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A_INF_001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学生可见情境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租金随价格指数调整，而另一合同名义租金固定。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教学问题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最初的风险来源/变化是什么？</w:t>
              <w:br/>
              <w:t>2. 哪个主体承担暴露？</w:t>
              <w:br/>
              <w:t>3. 通过什么机制传导？</w:t>
              <w:br/>
              <w:t>4. 改变一个关键条件后，判断会怎样变化？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teacher_internal_tags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购买力侵蚀；成本传导与利润挤压；预期与合同调整；政策与利率传导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minimum_answer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比较指数化与固定名义合同的通胀暴露。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excellent_answer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建立“冲击/变化→暴露结构→核心机制→损益/现金流/价值结果”的完整链，并主动说明至少一个判断前提。</w:t>
            </w:r>
          </w:p>
        </w:tc>
      </w:tr>
      <w:tr>
        <w:tc>
          <w:tcPr>
            <w:tcW w:type="dxa" w:w="243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follow_up_mapping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若 target 缺失→SQG_INF_006；若概念边界错误→SQG_INF_001/002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通货膨胀风险｜v1.2.1｜06/08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