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Noto Sans CJK SC" w:hAnsi="Noto Sans CJK SC" w:eastAsia="Noto Sans CJK SC"/>
          <w:b/>
          <w:sz w:val="36"/>
        </w:rPr>
        <w:t>利率风险：案例库设计（结构化修订版）</w:t>
      </w:r>
    </w:p>
    <w:p>
      <w:pPr>
        <w:spacing w:after="200"/>
        <w:jc w:val="center"/>
      </w:pPr>
      <w:r>
        <w:rPr>
          <w:rFonts w:ascii="Noto Sans CJK SC" w:hAnsi="Noto Sans CJK SC" w:eastAsia="Noto Sans CJK SC"/>
          <w:b w:val="0"/>
          <w:color w:val="555555"/>
          <w:sz w:val="19"/>
        </w:rPr>
        <w:t>Case Bank｜基础案例、反例、迁移案例与 Expected Reasoning</w:t>
      </w: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一、文档定位与元数据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2324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6917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值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document_id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DOC_IR_06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title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利率风险：Case Bank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1.2.1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spec_version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1.2.1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runtime_current_version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Case Bank Runtime 1.1（按实现审计）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target_runtime_version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Case Bank Spec 1.2.1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status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draft（待教师审核）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source_type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internal_design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source_scope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以原系统性风险 01–08 文档架构为模板，学科内容重构为利率风险；未将教学构造案例当作真实事件。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updated_at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2026-09-14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role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Case Bank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ordinary_RAG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是，建议作为独立案例库检索；机制标签不直接展示给学生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content_status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draft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runtime_environment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development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development_override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true（仅开发环境）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production_gate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仅 status=published 可进入生产学生会话</w:t>
            </w:r>
          </w:p>
        </w:tc>
      </w:tr>
    </w:tbl>
    <w:p>
      <w:pPr>
        <w:spacing w:after="20"/>
      </w:pPr>
    </w:p>
    <w:p>
      <w:pPr>
        <w:ind w:firstLine="420"/>
      </w:pPr>
      <w:r>
        <w:rPr>
          <w:rFonts w:ascii="Noto Sans CJK SC" w:hAnsi="Noto Sans CJK SC" w:eastAsia="Noto Sans CJK SC"/>
          <w:b w:val="0"/>
          <w:sz w:val="21"/>
        </w:rPr>
        <w:t>本版案例均为 synthetic（教学构造），用于训练机制识别与迁移，不应被当作真实历史事件。若后续加入 historical / adapted 案例，应补充来源与审核字段。</w:t>
      </w: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二、案例对象统一字段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2551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6803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case_id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稳定 ID，例如 CASE_IR_001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case_origin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synthetic / historical / adapted / teacher_created；本版均 synthetic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case_type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basic / counterexample / transfer / comprehensive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variant_group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同机制变体组，用于曝光控制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difficulty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1–3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target_concepts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引用 01 Knowledge Unit / Competency ID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student_visible_context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学生可见情境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teacher_internal_tags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仅 AI/教师端可见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minimum_answer / excellent_answer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最低/高水平推理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follow_up_mapping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只路由到正式 Question Group / KU / Competency</w:t>
            </w:r>
          </w:p>
        </w:tc>
      </w:tr>
    </w:tbl>
    <w:p>
      <w:pPr>
        <w:spacing w:after="20"/>
      </w:pP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三、案例库</w:t>
      </w:r>
    </w:p>
    <w:p>
      <w:pPr>
        <w:spacing w:before="100" w:after="60"/>
      </w:pPr>
      <w:r>
        <w:rPr>
          <w:rFonts w:ascii="Noto Sans CJK SC" w:hAnsi="Noto Sans CJK SC" w:eastAsia="Noto Sans CJK SC"/>
          <w:b/>
          <w:color w:val="2F5F8F"/>
          <w:sz w:val="23"/>
        </w:rPr>
        <w:t>CASE_IR_001｜长期固定利率资产与短期存款重定价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2438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6917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内容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case_origin / difficulty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synthetic / 1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case_type / variant_group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basic / VG_IR_01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target_concepts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M_IR_001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学生可见情境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银行持有大量长期固定利率贷款，存款成本可较快重定价。市场利率快速上升后，存款付息成本上升而贷款收益短期锁定。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教学问题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1. 最初的风险来源/变化是什么？</w:t>
              <w:br/>
              <w:t>2. 哪个主体承担暴露？</w:t>
              <w:br/>
              <w:t>3. 通过什么机制传导？</w:t>
              <w:br/>
              <w:t>4. 改变一个关键条件后，判断会怎样变化？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teacher_internal_tags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重定价风险；收益率曲线风险；基差风险；期权风险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minimum_answer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识别重定价错配；解释净利息收入受压，并讨论价值视角。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excellent_answer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建立“冲击/变化→暴露结构→核心机制→损益/现金流/价值结果”的完整链，并主动说明至少一个判断前提。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follow_up_mapping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若 target 缺失→SQG_IR_002；若概念边界错误→SQG_IR_001/002</w:t>
            </w:r>
          </w:p>
        </w:tc>
      </w:tr>
    </w:tbl>
    <w:p>
      <w:pPr>
        <w:spacing w:after="20"/>
      </w:pPr>
    </w:p>
    <w:p>
      <w:pPr>
        <w:spacing w:before="100" w:after="60"/>
      </w:pPr>
      <w:r>
        <w:rPr>
          <w:rFonts w:ascii="Noto Sans CJK SC" w:hAnsi="Noto Sans CJK SC" w:eastAsia="Noto Sans CJK SC"/>
          <w:b/>
          <w:color w:val="2F5F8F"/>
          <w:sz w:val="23"/>
        </w:rPr>
        <w:t>CASE_IR_002｜收益率曲线扁平化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2438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6917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内容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case_origin / difficulty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synthetic / 2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case_type / variant_group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basic / VG_IR_02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target_concepts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M_IR_002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学生可见情境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机构持有短久期资产与长久期负债，短端利率上升明显、长端变化较小。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教学问题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1. 最初的风险来源/变化是什么？</w:t>
              <w:br/>
              <w:t>2. 哪个主体承担暴露？</w:t>
              <w:br/>
              <w:t>3. 通过什么机制传导？</w:t>
              <w:br/>
              <w:t>4. 改变一个关键条件后，判断会怎样变化？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teacher_internal_tags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重定价风险；收益率曲线风险；基差风险；期权风险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minimum_answer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说明不是单一平移冲击，需按期限段判断。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excellent_answer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建立“冲击/变化→暴露结构→核心机制→损益/现金流/价值结果”的完整链，并主动说明至少一个判断前提。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follow_up_mapping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若 target 缺失→SQG_IR_003；若概念边界错误→SQG_IR_001/002</w:t>
            </w:r>
          </w:p>
        </w:tc>
      </w:tr>
    </w:tbl>
    <w:p>
      <w:pPr>
        <w:spacing w:after="20"/>
      </w:pPr>
    </w:p>
    <w:p>
      <w:pPr>
        <w:spacing w:before="100" w:after="60"/>
      </w:pPr>
      <w:r>
        <w:rPr>
          <w:rFonts w:ascii="Noto Sans CJK SC" w:hAnsi="Noto Sans CJK SC" w:eastAsia="Noto Sans CJK SC"/>
          <w:b/>
          <w:color w:val="2F5F8F"/>
          <w:sz w:val="23"/>
        </w:rPr>
        <w:t>CASE_IR_003｜基准错配对冲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2438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6917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内容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case_origin / difficulty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synthetic / 2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case_type / variant_group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transfer / VG_IR_03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target_concepts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M_IR_003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学生可见情境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贷款按一种参考利率重定价，对冲工具按另一基准定价，两者相关性下降。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教学问题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1. 最初的风险来源/变化是什么？</w:t>
              <w:br/>
              <w:t>2. 哪个主体承担暴露？</w:t>
              <w:br/>
              <w:t>3. 通过什么机制传导？</w:t>
              <w:br/>
              <w:t>4. 改变一个关键条件后，判断会怎样变化？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teacher_internal_tags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重定价风险；收益率曲线风险；基差风险；期权风险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minimum_answer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识别基差风险和对冲不完全。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excellent_answer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建立“冲击/变化→暴露结构→核心机制→损益/现金流/价值结果”的完整链，并主动说明至少一个判断前提。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follow_up_mapping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若 target 缺失→SQG_IR_004；若概念边界错误→SQG_IR_001/002</w:t>
            </w:r>
          </w:p>
        </w:tc>
      </w:tr>
    </w:tbl>
    <w:p>
      <w:pPr>
        <w:spacing w:after="20"/>
      </w:pPr>
    </w:p>
    <w:p>
      <w:pPr>
        <w:spacing w:before="100" w:after="60"/>
      </w:pPr>
      <w:r>
        <w:rPr>
          <w:rFonts w:ascii="Noto Sans CJK SC" w:hAnsi="Noto Sans CJK SC" w:eastAsia="Noto Sans CJK SC"/>
          <w:b/>
          <w:color w:val="2F5F8F"/>
          <w:sz w:val="23"/>
        </w:rPr>
        <w:t>CASE_IR_004｜提前还款上升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2438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6917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内容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case_origin / difficulty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synthetic / 3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case_type / variant_group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transfer / VG_IR_04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target_concepts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M_IR_004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学生可见情境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市场利率下降后，固定利率贷款客户大量提前还款。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教学问题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1. 最初的风险来源/变化是什么？</w:t>
              <w:br/>
              <w:t>2. 哪个主体承担暴露？</w:t>
              <w:br/>
              <w:t>3. 通过什么机制传导？</w:t>
              <w:br/>
              <w:t>4. 改变一个关键条件后，判断会怎样变化？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teacher_internal_tags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重定价风险；收益率曲线风险；基差风险；期权风险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minimum_answer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识别嵌入期权导致现金流期限缩短。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excellent_answer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建立“冲击/变化→暴露结构→核心机制→损益/现金流/价值结果”的完整链，并主动说明至少一个判断前提。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follow_up_mapping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若 target 缺失→SQG_IR_005；若概念边界错误→SQG_IR_001/002</w:t>
            </w:r>
          </w:p>
        </w:tc>
      </w:tr>
    </w:tbl>
    <w:p>
      <w:pPr>
        <w:spacing w:after="20"/>
      </w:pPr>
    </w:p>
    <w:p>
      <w:pPr>
        <w:spacing w:before="100" w:after="60"/>
      </w:pPr>
      <w:r>
        <w:rPr>
          <w:rFonts w:ascii="Noto Sans CJK SC" w:hAnsi="Noto Sans CJK SC" w:eastAsia="Noto Sans CJK SC"/>
          <w:b/>
          <w:color w:val="2F5F8F"/>
          <w:sz w:val="23"/>
        </w:rPr>
        <w:t>CASE_IR_005｜债券组合估值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2438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6917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内容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case_origin / difficulty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synthetic / 3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case_type / variant_group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counterexample / VG_IR_05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target_concepts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A_IR_001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学生可见情境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投资组合以长期固定息债券为主，市场收益率上升。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教学问题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1. 最初的风险来源/变化是什么？</w:t>
              <w:br/>
              <w:t>2. 哪个主体承担暴露？</w:t>
              <w:br/>
              <w:t>3. 通过什么机制传导？</w:t>
              <w:br/>
              <w:t>4. 改变一个关键条件后，判断会怎样变化？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teacher_internal_tags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重定价风险；收益率曲线风险；基差风险；期权风险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minimum_answer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说明价格下降与久期敏感性，并避免将账面损失和实际现金流混为一谈。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excellent_answer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建立“冲击/变化→暴露结构→核心机制→损益/现金流/价值结果”的完整链，并主动说明至少一个判断前提。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follow_up_mapping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若 target 缺失→SQG_IR_006；若概念边界错误→SQG_IR_001/002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850" w:right="935" w:bottom="850" w:left="935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888888"/>
        <w:sz w:val="16"/>
      </w:rPr>
      <w:t>利率风险｜v1.2.1｜06/08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