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政策风险：整体规划与教学蓝图（结构化修订版）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Canonical Knowledge Specification｜知识边界、Knowledge Units、关系与掌握标准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本文件作为“政策风险（Policy Risk）”知识点的知识规范总纲，只管理学科知识边界及其结构化表达。学习流程、诊断规则、提问规则、案例、评分和 Prompt 分别由 02–08 管理，避免学科知识与教学行为混写。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DOC_POL_01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政策风险：Canonical Knowledge / Knowledge Point Blueprint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Canonical Knowledge / Knowledge Point Blueprint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Canonical Knowledge / Knowledge Point Blueprint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文档架构为模板，学科内容重构为政策风险；未将教学构造案例当作真实事件。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Canonical Knowledge / Knowledge Point Blueprint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是，核心知识来源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二、知识点定位与学习目标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知识点 ID：KP_POLICY_RISK。适用于金融学、金融风险管理、商业银行经营管理、投资学与宏观金融等本科课程，定位为“概念理解 + 机制分析 + 案例迁移”型知识点。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1. 解释政策风险的来源与对象，区分政策变化和政策不确定性。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2. 识别货币政策、财政政策、监管政策、产业/贸易政策的主要影响渠道。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3. 建立“政策变化→行为/价格/成本→现金流或估值”的机制链。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4. 区分政策公告、实施细则、执行时点和市场预期之间的差异。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5. 分析政策敏感行业与一般行业暴露的差别。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6. 在新政策案例中根据受影响主体、渠道和时间维度修正判断。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三、知识边界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由于货币、财政、监管、产业、贸易等公共政策的制定、调整、实施或不确定性发生变化，使市场主体的合规成本、融资条件、需求、现金流或资产估值受到不利影响的风险。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政策风险关注政策变化及不确定性带来的经济金融影响，不等同于所有政治事件。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区分政策方向、实施力度、执行时点和预期差异。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同一政策对不同行业、期限和资产负债结构的影响可能相反。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四、Knowledge Units（知识单元）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3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ID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名称/类型</w:t>
            </w:r>
          </w:p>
        </w:tc>
        <w:tc>
          <w:tcPr>
            <w:tcW w:type="dxa" w:w="311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核心内容</w:t>
            </w:r>
          </w:p>
        </w:tc>
        <w:tc>
          <w:tcPr>
            <w:tcW w:type="dxa" w:w="300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掌握标准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C_POL_001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政策风险定义</w:t>
              <w:br/>
              <w:t>[概念]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政策变化或不确定性通过制度、成本、需求、融资和预期渠道影响主体。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能指出“政策变量 + 传导渠道 + 不利结果”。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C_POL_002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政策变化与政策不确定性</w:t>
              <w:br/>
              <w:t>[概念辨析]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已确定的规则变化与未来方向/执行不确定性影响机制不同。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能区分确定冲击与不确定性溢价。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货币政策渠道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政策利率、流动性与信贷条件变化影响融资成本、需求与估值。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能解释至少一条传导链。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M_POL_002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财政与税收渠道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税率、补贴、政府支出等变化影响可支配收入、成本和需求。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能识别受益/受损主体差异。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M_POL_003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监管与合规渠道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资本、准入、信息披露、环保等规则变化影响合规成本和业务边界。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能区分一次性调整与持续成本。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M_POL_004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产业/贸易政策渠道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关税、配额、产业支持或限制改变价格、供应链和竞争格局。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能分析上下游传导。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A_POL_001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政策暴露映射</w:t>
              <w:br/>
              <w:t>[分析]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按政策类型、直接对象、二阶影响、时间窗口和可替代性识别暴露。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能避免只看政策标题。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COMP_POL_001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政策情境迁移</w:t>
              <w:br/>
              <w:t>[能力]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面对陌生政策，能根据具体条款和传导对象建立机制链。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能说明信息不足时需要哪些政策细节。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五、Knowledge Relations（关系）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from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relation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to</w:t>
            </w:r>
          </w:p>
        </w:tc>
        <w:tc>
          <w:tcPr>
            <w:tcW w:type="dxa" w:w="45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关系说明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C_POL_002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amplifies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C_POL_001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不确定性可提高风险溢价和延迟投资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M_POL_001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related_to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A_POL_001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货币政策需结合融资结构映射暴露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M_POL_003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causes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A_POL_001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监管规则改变直接影响业务边界与成本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M_POL_004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related_to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M_POL_002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产业/贸易与财政激励可能共同作用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六、Canonical Misconception / Gap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6.1 典型 misconception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典型错误</w:t>
            </w:r>
          </w:p>
        </w:tc>
        <w:tc>
          <w:tcPr>
            <w:tcW w:type="dxa" w:w="419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问题所在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ERR_POL_001_POLICY_ALWAYS_MACRO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“政策风险只影响宏观经济，不影响单个企业”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忽略行业和企业层面的直接合规/成本冲击。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ERR_POL_002_ANNOUNCE_EQUALS_IMPLEMENT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“政策一公布影响就完全兑现”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忽略实施细则、时点与预期差。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ERR_POL_003_SAME_EFFECT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“同一政策对所有行业方向相同”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忽略暴露结构与替代关系。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ERR_POL_004_POLITICAL_EQUALS_POLICY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“所有政治风险都等于政策风险”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混淆政策规则变化与更广泛政治风险。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6.2 Knowledge / Skill Gap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GAP_POL_CHANNEL：对应当前风险知识单元的缺口标签，仅在学生回答有证据时提交。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GAP_POL_UNCERTAINTY：对应当前风险知识单元的缺口标签，仅在学生回答有证据时提交。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GAP_POL_TIMING：对应当前风险知识单元的缺口标签，仅在学生回答有证据时提交。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GAP_POL_HETEROGENEITY：对应当前风险知识单元的缺口标签，仅在学生回答有证据时提交。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GAP_POL_SECOND_ORDER：对应当前风险知识单元的缺口标签，仅在学生回答有证据时提交。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七、Mastery Evidence 与发布边界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最低掌握：定义方向正确，能指出至少一个核心机制，并能在给定案例中判断风险方向。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稳定掌握：能在条件变化、反例和陌生案例中保持概念边界，并解释因果链。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高水平掌握：能比较多种机制、识别指标边界、主动说明判断所依赖的前提。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所有教学构造案例均为 synthetic；若后续引入真实案例，需单独记录来源、时间与审核状态。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版本字段与实际运行版本分离；工程实现并通过测试后再更新 runtime_current_version。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政策风险｜v1.2.1｜01/08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