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0B2545"/>
          <w:sz w:val="44"/>
        </w:rPr>
        <w:t>航空发动机装配排产仿真系统</w:t>
        <w:br/>
        <w:t>软件说明书</w:t>
      </w:r>
    </w:p>
    <w:p>
      <w:pPr>
        <w:jc w:val="center"/>
      </w:pPr>
      <w:r>
        <w:rPr>
          <w:rFonts w:ascii="微软雅黑" w:hAnsi="微软雅黑" w:eastAsia="微软雅黑"/>
          <w:color w:val="505050"/>
          <w:sz w:val="22"/>
        </w:rPr>
        <w:t>版本号：V1.0</w:t>
        <w:br/>
        <w:t>文档版本：V1.0</w:t>
        <w:br/>
      </w:r>
    </w:p>
    <w:p>
      <w:r>
        <w:br w:type="page"/>
      </w:r>
    </w:p>
    <w:p>
      <w:pPr>
        <w:pStyle w:val="Heading1"/>
      </w:pPr>
      <w:r>
        <w:t>1. 软件概述</w:t>
      </w:r>
    </w:p>
    <w:p>
      <w:r>
        <w:t>航空发动机装配排产仿真系统是一套面向航空发动机装配场景的离散事件仿真与排产分析软件。系统围绕装配工艺流程、工人资源、关键设备、返工概率和疲劳休息规则建立仿真模型，用于辅助评估生产节拍、资源瓶颈、人员配置和交付周期。</w:t>
      </w:r>
    </w:p>
    <w:tbl>
      <w:tblPr>
        <w:tblStyle w:val="TableGrid"/>
        <w:tblW w:type="auto" w:w="0"/>
        <w:tblLayout w:type="fixed"/>
        <w:tblLook w:firstColumn="1" w:firstRow="1" w:lastColumn="0" w:lastRow="0" w:noHBand="0" w:noVBand="1" w:val="04A0"/>
      </w:tblPr>
      <w:tblGrid>
        <w:gridCol w:w="4706"/>
        <w:gridCol w:w="4706"/>
      </w:tblGrid>
      <w:tr>
        <w:tc>
          <w:tcPr>
            <w:tcW w:type="dxa" w:w="4706"/>
          </w:tcPr>
          <w:p>
            <w:r>
              <w:rPr>
                <w:rFonts w:ascii="微软雅黑" w:hAnsi="微软雅黑" w:eastAsia="微软雅黑"/>
                <w:b/>
              </w:rPr>
              <w:t>项目</w:t>
            </w:r>
          </w:p>
        </w:tc>
        <w:tc>
          <w:tcPr>
            <w:tcW w:type="dxa" w:w="4706"/>
          </w:tcPr>
          <w:p>
            <w:r>
              <w:rPr>
                <w:rFonts w:ascii="微软雅黑" w:hAnsi="微软雅黑" w:eastAsia="微软雅黑"/>
                <w:b/>
              </w:rPr>
              <w:t>内容</w:t>
            </w:r>
          </w:p>
        </w:tc>
      </w:tr>
      <w:tr>
        <w:tc>
          <w:tcPr>
            <w:tcW w:type="dxa" w:w="4706"/>
            <w:vAlign w:val="center"/>
          </w:tcPr>
          <w:p>
            <w:r>
              <w:rPr>
                <w:rFonts w:ascii="微软雅黑" w:hAnsi="微软雅黑" w:eastAsia="微软雅黑"/>
                <w:sz w:val="20"/>
              </w:rPr>
              <w:t>软件全称</w:t>
            </w:r>
          </w:p>
        </w:tc>
        <w:tc>
          <w:tcPr>
            <w:tcW w:type="dxa" w:w="4706"/>
            <w:vAlign w:val="center"/>
          </w:tcPr>
          <w:p>
            <w:r>
              <w:rPr>
                <w:rFonts w:ascii="微软雅黑" w:hAnsi="微软雅黑" w:eastAsia="微软雅黑"/>
                <w:sz w:val="20"/>
              </w:rPr>
              <w:t>航空发动机装配排产仿真系统</w:t>
            </w:r>
          </w:p>
        </w:tc>
      </w:tr>
      <w:tr>
        <w:tc>
          <w:tcPr>
            <w:tcW w:type="dxa" w:w="4706"/>
            <w:vAlign w:val="center"/>
          </w:tcPr>
          <w:p>
            <w:r>
              <w:rPr>
                <w:rFonts w:ascii="微软雅黑" w:hAnsi="微软雅黑" w:eastAsia="微软雅黑"/>
                <w:sz w:val="20"/>
              </w:rPr>
              <w:t>版本号</w:t>
            </w:r>
          </w:p>
        </w:tc>
        <w:tc>
          <w:tcPr>
            <w:tcW w:type="dxa" w:w="4706"/>
            <w:vAlign w:val="center"/>
          </w:tcPr>
          <w:p>
            <w:r>
              <w:rPr>
                <w:rFonts w:ascii="微软雅黑" w:hAnsi="微软雅黑" w:eastAsia="微软雅黑"/>
                <w:sz w:val="20"/>
              </w:rPr>
              <w:t>V1.0</w:t>
            </w:r>
          </w:p>
        </w:tc>
      </w:tr>
      <w:tr>
        <w:tc>
          <w:tcPr>
            <w:tcW w:type="dxa" w:w="4706"/>
            <w:vAlign w:val="center"/>
          </w:tcPr>
          <w:p>
            <w:r>
              <w:rPr>
                <w:rFonts w:ascii="微软雅黑" w:hAnsi="微软雅黑" w:eastAsia="微软雅黑"/>
                <w:sz w:val="20"/>
              </w:rPr>
              <w:t>软件类型</w:t>
            </w:r>
          </w:p>
        </w:tc>
        <w:tc>
          <w:tcPr>
            <w:tcW w:type="dxa" w:w="4706"/>
            <w:vAlign w:val="center"/>
          </w:tcPr>
          <w:p>
            <w:r>
              <w:rPr>
                <w:rFonts w:ascii="微软雅黑" w:hAnsi="微软雅黑" w:eastAsia="微软雅黑"/>
                <w:sz w:val="20"/>
              </w:rPr>
              <w:t>生产排产仿真与可视化分析软件</w:t>
            </w:r>
          </w:p>
        </w:tc>
      </w:tr>
      <w:tr>
        <w:tc>
          <w:tcPr>
            <w:tcW w:type="dxa" w:w="4706"/>
            <w:vAlign w:val="center"/>
          </w:tcPr>
          <w:p>
            <w:r>
              <w:rPr>
                <w:rFonts w:ascii="微软雅黑" w:hAnsi="微软雅黑" w:eastAsia="微软雅黑"/>
                <w:sz w:val="20"/>
              </w:rPr>
              <w:t>开发语言</w:t>
            </w:r>
          </w:p>
        </w:tc>
        <w:tc>
          <w:tcPr>
            <w:tcW w:type="dxa" w:w="4706"/>
            <w:vAlign w:val="center"/>
          </w:tcPr>
          <w:p>
            <w:r>
              <w:rPr>
                <w:rFonts w:ascii="微软雅黑" w:hAnsi="微软雅黑" w:eastAsia="微软雅黑"/>
                <w:sz w:val="20"/>
              </w:rPr>
              <w:t>Python、JavaScript、HTML、CSS、YAML</w:t>
            </w:r>
          </w:p>
        </w:tc>
      </w:tr>
      <w:tr>
        <w:tc>
          <w:tcPr>
            <w:tcW w:type="dxa" w:w="4706"/>
            <w:vAlign w:val="center"/>
          </w:tcPr>
          <w:p>
            <w:r>
              <w:rPr>
                <w:rFonts w:ascii="微软雅黑" w:hAnsi="微软雅黑" w:eastAsia="微软雅黑"/>
                <w:sz w:val="20"/>
              </w:rPr>
              <w:t>运行环境</w:t>
            </w:r>
          </w:p>
        </w:tc>
        <w:tc>
          <w:tcPr>
            <w:tcW w:type="dxa" w:w="4706"/>
            <w:vAlign w:val="center"/>
          </w:tcPr>
          <w:p>
            <w:r>
              <w:rPr>
                <w:rFonts w:ascii="微软雅黑" w:hAnsi="微软雅黑" w:eastAsia="微软雅黑"/>
                <w:sz w:val="20"/>
              </w:rPr>
              <w:t>Windows/Linux，Python 3.9+，现代浏览器</w:t>
            </w:r>
          </w:p>
        </w:tc>
      </w:tr>
      <w:tr>
        <w:tc>
          <w:tcPr>
            <w:tcW w:type="dxa" w:w="4706"/>
            <w:vAlign w:val="center"/>
          </w:tcPr>
          <w:p>
            <w:r>
              <w:rPr>
                <w:rFonts w:ascii="微软雅黑" w:hAnsi="微软雅黑" w:eastAsia="微软雅黑"/>
                <w:sz w:val="20"/>
              </w:rPr>
              <w:t>核心框架</w:t>
            </w:r>
          </w:p>
        </w:tc>
        <w:tc>
          <w:tcPr>
            <w:tcW w:type="dxa" w:w="4706"/>
            <w:vAlign w:val="center"/>
          </w:tcPr>
          <w:p>
            <w:r>
              <w:rPr>
                <w:rFonts w:ascii="微软雅黑" w:hAnsi="微软雅黑" w:eastAsia="微软雅黑"/>
                <w:sz w:val="20"/>
              </w:rPr>
              <w:t>FastAPI、SimPy、NetworkX、Pydantic、NumPy、Chart.js</w:t>
            </w:r>
          </w:p>
        </w:tc>
      </w:tr>
    </w:tbl>
    <w:p/>
    <w:tbl>
      <w:tblPr>
        <w:tblStyle w:val="TableGrid"/>
        <w:tblW w:type="auto" w:w="0"/>
        <w:tblLook w:firstColumn="1" w:firstRow="1" w:lastColumn="0" w:lastRow="0" w:noHBand="0" w:noVBand="1" w:val="04A0"/>
      </w:tblPr>
      <w:tblGrid>
        <w:gridCol w:w="9412"/>
      </w:tblGrid>
      <w:tr>
        <w:tc>
          <w:tcPr>
            <w:tcW w:type="dxa" w:w="8928"/>
            <w:vAlign w:val="center"/>
          </w:tcPr>
          <w:p>
            <w:pPr>
              <w:jc w:val="center"/>
            </w:pPr>
            <w:r>
              <w:rPr>
                <w:rFonts w:ascii="微软雅黑" w:hAnsi="微软雅黑" w:eastAsia="微软雅黑"/>
                <w:color w:val="646464"/>
                <w:sz w:val="20"/>
              </w:rPr>
              <w:t>【截图占位：系统首页或主界面截图】</w:t>
            </w:r>
            <w:r>
              <w:br/>
            </w:r>
            <w:r>
              <w:br/>
            </w:r>
            <w:r>
              <w:br/>
            </w:r>
            <w:r>
              <w:br/>
            </w:r>
          </w:p>
        </w:tc>
      </w:tr>
    </w:tbl>
    <w:p/>
    <w:p>
      <w:pPr>
        <w:pStyle w:val="Heading1"/>
      </w:pPr>
      <w:r>
        <w:t>2. 适用范围</w:t>
      </w:r>
    </w:p>
    <w:p>
      <w:pPr>
        <w:pStyle w:val="ListBullet"/>
      </w:pPr>
      <w:r>
        <w:rPr>
          <w:rFonts w:ascii="微软雅黑" w:hAnsi="微软雅黑" w:eastAsia="微软雅黑"/>
          <w:sz w:val="21"/>
        </w:rPr>
        <w:t>航空发动机总装、部装或类似复杂装配流程的产能评估。</w:t>
      </w:r>
    </w:p>
    <w:p>
      <w:pPr>
        <w:pStyle w:val="ListBullet"/>
      </w:pPr>
      <w:r>
        <w:rPr>
          <w:rFonts w:ascii="微软雅黑" w:hAnsi="微软雅黑" w:eastAsia="微软雅黑"/>
          <w:sz w:val="21"/>
        </w:rPr>
        <w:t>多工序、多资源约束条件下的排产方案验证。</w:t>
      </w:r>
    </w:p>
    <w:p>
      <w:pPr>
        <w:pStyle w:val="ListBullet"/>
      </w:pPr>
      <w:r>
        <w:rPr>
          <w:rFonts w:ascii="微软雅黑" w:hAnsi="微软雅黑" w:eastAsia="微软雅黑"/>
          <w:sz w:val="21"/>
        </w:rPr>
        <w:t>工人数量、关键设备数量、返工概率和休息策略变化对周期的影响分析。</w:t>
      </w:r>
    </w:p>
    <w:p>
      <w:pPr>
        <w:pStyle w:val="ListBullet"/>
      </w:pPr>
      <w:r>
        <w:rPr>
          <w:rFonts w:ascii="微软雅黑" w:hAnsi="微软雅黑" w:eastAsia="微软雅黑"/>
          <w:sz w:val="21"/>
        </w:rPr>
        <w:t>生产管理人员进行瓶颈识别、资源配置和计划可行性评估。</w:t>
      </w:r>
    </w:p>
    <w:p>
      <w:pPr>
        <w:pStyle w:val="Heading1"/>
      </w:pPr>
      <w:r>
        <w:t>3. 运行环境与安装</w:t>
      </w:r>
    </w:p>
    <w:p>
      <w:pPr>
        <w:pStyle w:val="Heading2"/>
      </w:pPr>
      <w:r>
        <w:t>3.1 运行环境</w:t>
      </w:r>
    </w:p>
    <w:p>
      <w:pPr>
        <w:pStyle w:val="ListBullet"/>
      </w:pPr>
      <w:r>
        <w:rPr>
          <w:rFonts w:ascii="微软雅黑" w:hAnsi="微软雅黑" w:eastAsia="微软雅黑"/>
          <w:sz w:val="21"/>
        </w:rPr>
        <w:t>操作系统：Windows 10/11 或 Linux 发行版。</w:t>
      </w:r>
    </w:p>
    <w:p>
      <w:pPr>
        <w:pStyle w:val="ListBullet"/>
      </w:pPr>
      <w:r>
        <w:rPr>
          <w:rFonts w:ascii="微软雅黑" w:hAnsi="微软雅黑" w:eastAsia="微软雅黑"/>
          <w:sz w:val="21"/>
        </w:rPr>
        <w:t>Python：3.9 及以上版本。</w:t>
      </w:r>
    </w:p>
    <w:p>
      <w:pPr>
        <w:pStyle w:val="ListBullet"/>
      </w:pPr>
      <w:r>
        <w:rPr>
          <w:rFonts w:ascii="微软雅黑" w:hAnsi="微软雅黑" w:eastAsia="微软雅黑"/>
          <w:sz w:val="21"/>
        </w:rPr>
        <w:t>浏览器：Chrome、Edge、Firefox 等现代浏览器。</w:t>
      </w:r>
    </w:p>
    <w:p>
      <w:pPr>
        <w:pStyle w:val="ListBullet"/>
      </w:pPr>
      <w:r>
        <w:rPr>
          <w:rFonts w:ascii="微软雅黑" w:hAnsi="微软雅黑" w:eastAsia="微软雅黑"/>
          <w:sz w:val="21"/>
        </w:rPr>
        <w:t>网络：本地运行时默认通过浏览器访问后端服务地址。</w:t>
      </w:r>
    </w:p>
    <w:p>
      <w:pPr>
        <w:pStyle w:val="Heading2"/>
      </w:pPr>
      <w:r>
        <w:t>3.2 安装依赖</w:t>
      </w:r>
    </w:p>
    <w:p>
      <w:pPr>
        <w:pStyle w:val="ListNumber"/>
      </w:pPr>
      <w:r>
        <w:rPr>
          <w:rFonts w:ascii="微软雅黑" w:hAnsi="微软雅黑" w:eastAsia="微软雅黑"/>
          <w:sz w:val="21"/>
        </w:rPr>
        <w:t>进入项目根目录。</w:t>
      </w:r>
    </w:p>
    <w:p>
      <w:pPr>
        <w:pStyle w:val="ListNumber"/>
      </w:pPr>
      <w:r>
        <w:rPr>
          <w:rFonts w:ascii="微软雅黑" w:hAnsi="微软雅黑" w:eastAsia="微软雅黑"/>
          <w:sz w:val="21"/>
        </w:rPr>
        <w:t>创建并启用 Python 虚拟环境。</w:t>
      </w:r>
    </w:p>
    <w:p>
      <w:pPr>
        <w:pStyle w:val="ListNumber"/>
      </w:pPr>
      <w:r>
        <w:rPr>
          <w:rFonts w:ascii="微软雅黑" w:hAnsi="微软雅黑" w:eastAsia="微软雅黑"/>
          <w:sz w:val="21"/>
        </w:rPr>
        <w:t>执行 pip install -r requirements.txt 安装依赖。</w:t>
      </w:r>
    </w:p>
    <w:p>
      <w:pPr>
        <w:pStyle w:val="ListNumber"/>
      </w:pPr>
      <w:r>
        <w:rPr>
          <w:rFonts w:ascii="微软雅黑" w:hAnsi="微软雅黑" w:eastAsia="微软雅黑"/>
          <w:sz w:val="21"/>
        </w:rPr>
        <w:t>运行 start.bat 或使用 uvicorn app.main:app --reload 启动服务。</w:t>
      </w:r>
    </w:p>
    <w:p>
      <w:pPr>
        <w:pStyle w:val="ListNumber"/>
      </w:pPr>
      <w:r>
        <w:rPr>
          <w:rFonts w:ascii="微软雅黑" w:hAnsi="微软雅黑" w:eastAsia="微软雅黑"/>
          <w:sz w:val="21"/>
        </w:rPr>
        <w:t>在浏览器中打开系统首页，进入可视化操作界面。</w:t>
      </w:r>
    </w:p>
    <w:p>
      <w:pPr>
        <w:pStyle w:val="Heading1"/>
      </w:pPr>
      <w:r>
        <w:t>4. 系统结构</w:t>
      </w:r>
    </w:p>
    <w:p>
      <w:r>
        <w:t>系统采用前后端分层结构。前端负责流程编辑、参数录入、图表展示和交互操作；后端提供工艺流程管理、仿真运行、配置管理和结果导出接口；核心仿真层基于 SimPy 实现离散事件推进，并结合 DAG 调度、资源池管理和统计分析模块完成排产计算。</w:t>
      </w:r>
    </w:p>
    <w:tbl>
      <w:tblPr>
        <w:tblStyle w:val="TableGrid"/>
        <w:tblW w:type="auto" w:w="0"/>
        <w:tblLayout w:type="fixed"/>
        <w:tblLook w:firstColumn="1" w:firstRow="1" w:lastColumn="0" w:lastRow="0" w:noHBand="0" w:noVBand="1" w:val="04A0"/>
      </w:tblPr>
      <w:tblGrid>
        <w:gridCol w:w="4706"/>
        <w:gridCol w:w="4706"/>
      </w:tblGrid>
      <w:tr>
        <w:tc>
          <w:tcPr>
            <w:tcW w:type="dxa" w:w="4706"/>
          </w:tcPr>
          <w:p>
            <w:r>
              <w:rPr>
                <w:rFonts w:ascii="微软雅黑" w:hAnsi="微软雅黑" w:eastAsia="微软雅黑"/>
                <w:b/>
              </w:rPr>
              <w:t>项目</w:t>
            </w:r>
          </w:p>
        </w:tc>
        <w:tc>
          <w:tcPr>
            <w:tcW w:type="dxa" w:w="4706"/>
          </w:tcPr>
          <w:p>
            <w:r>
              <w:rPr>
                <w:rFonts w:ascii="微软雅黑" w:hAnsi="微软雅黑" w:eastAsia="微软雅黑"/>
                <w:b/>
              </w:rPr>
              <w:t>内容</w:t>
            </w:r>
          </w:p>
        </w:tc>
      </w:tr>
      <w:tr>
        <w:tc>
          <w:tcPr>
            <w:tcW w:type="dxa" w:w="4706"/>
            <w:vAlign w:val="center"/>
          </w:tcPr>
          <w:p>
            <w:r>
              <w:rPr>
                <w:rFonts w:ascii="微软雅黑" w:hAnsi="微软雅黑" w:eastAsia="微软雅黑"/>
                <w:sz w:val="20"/>
              </w:rPr>
              <w:t>前端展示层</w:t>
            </w:r>
          </w:p>
        </w:tc>
        <w:tc>
          <w:tcPr>
            <w:tcW w:type="dxa" w:w="4706"/>
            <w:vAlign w:val="center"/>
          </w:tcPr>
          <w:p>
            <w:r>
              <w:rPr>
                <w:rFonts w:ascii="微软雅黑" w:hAnsi="微软雅黑" w:eastAsia="微软雅黑"/>
                <w:sz w:val="20"/>
              </w:rPr>
              <w:t>HTML5、CSS3、JavaScript，提供流程编辑、参数配置、甘特图和 KPI 展示。</w:t>
            </w:r>
          </w:p>
        </w:tc>
      </w:tr>
      <w:tr>
        <w:tc>
          <w:tcPr>
            <w:tcW w:type="dxa" w:w="4706"/>
            <w:vAlign w:val="center"/>
          </w:tcPr>
          <w:p>
            <w:r>
              <w:rPr>
                <w:rFonts w:ascii="微软雅黑" w:hAnsi="微软雅黑" w:eastAsia="微软雅黑"/>
                <w:sz w:val="20"/>
              </w:rPr>
              <w:t>接口服务层</w:t>
            </w:r>
          </w:p>
        </w:tc>
        <w:tc>
          <w:tcPr>
            <w:tcW w:type="dxa" w:w="4706"/>
            <w:vAlign w:val="center"/>
          </w:tcPr>
          <w:p>
            <w:r>
              <w:rPr>
                <w:rFonts w:ascii="微软雅黑" w:hAnsi="微软雅黑" w:eastAsia="微软雅黑"/>
                <w:sz w:val="20"/>
              </w:rPr>
              <w:t>FastAPI 提供 REST API，负责请求处理、数据校验和跨域访问。</w:t>
            </w:r>
          </w:p>
        </w:tc>
      </w:tr>
      <w:tr>
        <w:tc>
          <w:tcPr>
            <w:tcW w:type="dxa" w:w="4706"/>
            <w:vAlign w:val="center"/>
          </w:tcPr>
          <w:p>
            <w:r>
              <w:rPr>
                <w:rFonts w:ascii="微软雅黑" w:hAnsi="微软雅黑" w:eastAsia="微软雅黑"/>
                <w:sz w:val="20"/>
              </w:rPr>
              <w:t>仿真核心层</w:t>
            </w:r>
          </w:p>
        </w:tc>
        <w:tc>
          <w:tcPr>
            <w:tcW w:type="dxa" w:w="4706"/>
            <w:vAlign w:val="center"/>
          </w:tcPr>
          <w:p>
            <w:r>
              <w:rPr>
                <w:rFonts w:ascii="微软雅黑" w:hAnsi="微软雅黑" w:eastAsia="微软雅黑"/>
                <w:sz w:val="20"/>
              </w:rPr>
              <w:t>SimPy、NetworkX、NumPy 实现事件仿真、拓扑调度和随机扰动。</w:t>
            </w:r>
          </w:p>
        </w:tc>
      </w:tr>
      <w:tr>
        <w:tc>
          <w:tcPr>
            <w:tcW w:type="dxa" w:w="4706"/>
            <w:vAlign w:val="center"/>
          </w:tcPr>
          <w:p>
            <w:r>
              <w:rPr>
                <w:rFonts w:ascii="微软雅黑" w:hAnsi="微软雅黑" w:eastAsia="微软雅黑"/>
                <w:sz w:val="20"/>
              </w:rPr>
              <w:t>数据与配置层</w:t>
            </w:r>
          </w:p>
        </w:tc>
        <w:tc>
          <w:tcPr>
            <w:tcW w:type="dxa" w:w="4706"/>
            <w:vAlign w:val="center"/>
          </w:tcPr>
          <w:p>
            <w:r>
              <w:rPr>
                <w:rFonts w:ascii="微软雅黑" w:hAnsi="微软雅黑" w:eastAsia="微软雅黑"/>
                <w:sz w:val="20"/>
              </w:rPr>
              <w:t>CSV、JSON、YAML 文件用于工艺数据、默认配置和结果导出。</w:t>
            </w:r>
          </w:p>
        </w:tc>
      </w:tr>
    </w:tbl>
    <w:p/>
    <w:tbl>
      <w:tblPr>
        <w:tblStyle w:val="TableGrid"/>
        <w:tblW w:type="auto" w:w="0"/>
        <w:tblLook w:firstColumn="1" w:firstRow="1" w:lastColumn="0" w:lastRow="0" w:noHBand="0" w:noVBand="1" w:val="04A0"/>
      </w:tblPr>
      <w:tblGrid>
        <w:gridCol w:w="9412"/>
      </w:tblGrid>
      <w:tr>
        <w:tc>
          <w:tcPr>
            <w:tcW w:type="dxa" w:w="8928"/>
            <w:vAlign w:val="center"/>
          </w:tcPr>
          <w:p>
            <w:pPr>
              <w:jc w:val="center"/>
            </w:pPr>
            <w:r>
              <w:rPr>
                <w:rFonts w:ascii="微软雅黑" w:hAnsi="微软雅黑" w:eastAsia="微软雅黑"/>
                <w:color w:val="646464"/>
                <w:sz w:val="20"/>
              </w:rPr>
              <w:t>【截图占位：系统架构图或模块关系图】</w:t>
            </w:r>
            <w:r>
              <w:br/>
            </w:r>
            <w:r>
              <w:br/>
            </w:r>
            <w:r>
              <w:br/>
            </w:r>
            <w:r>
              <w:br/>
            </w:r>
          </w:p>
        </w:tc>
      </w:tr>
    </w:tbl>
    <w:p/>
    <w:p>
      <w:pPr>
        <w:pStyle w:val="Heading1"/>
      </w:pPr>
      <w:r>
        <w:t>5. 主要功能</w:t>
      </w:r>
    </w:p>
    <w:p>
      <w:pPr>
        <w:pStyle w:val="Heading2"/>
      </w:pPr>
      <w:r>
        <w:t>5.1 工艺流程建模</w:t>
      </w:r>
    </w:p>
    <w:p>
      <w:r>
        <w:t>用户可导入或编辑装配工艺流程数据。每个工序节点包含步骤编号、任务名称、操作类型、标准工时、工时波动、所需工人、所需设备、前置工序、返工概率和负荷评分等字段。系统根据前置关系构建有向无环图，并自动判断工序是否满足开工条件。</w:t>
      </w:r>
    </w:p>
    <w:tbl>
      <w:tblPr>
        <w:tblStyle w:val="TableGrid"/>
        <w:tblW w:type="auto" w:w="0"/>
        <w:tblLook w:firstColumn="1" w:firstRow="1" w:lastColumn="0" w:lastRow="0" w:noHBand="0" w:noVBand="1" w:val="04A0"/>
      </w:tblPr>
      <w:tblGrid>
        <w:gridCol w:w="9412"/>
      </w:tblGrid>
      <w:tr>
        <w:tc>
          <w:tcPr>
            <w:tcW w:type="dxa" w:w="8928"/>
            <w:vAlign w:val="center"/>
          </w:tcPr>
          <w:p>
            <w:pPr>
              <w:jc w:val="center"/>
            </w:pPr>
            <w:r>
              <w:rPr>
                <w:rFonts w:ascii="微软雅黑" w:hAnsi="微软雅黑" w:eastAsia="微软雅黑"/>
                <w:color w:val="646464"/>
                <w:sz w:val="20"/>
              </w:rPr>
              <w:t>【截图占位：工艺流程编辑器或 CSV 导入界面】</w:t>
            </w:r>
            <w:r>
              <w:br/>
            </w:r>
            <w:r>
              <w:br/>
            </w:r>
            <w:r>
              <w:br/>
            </w:r>
            <w:r>
              <w:br/>
            </w:r>
          </w:p>
        </w:tc>
      </w:tr>
    </w:tbl>
    <w:p/>
    <w:p>
      <w:pPr>
        <w:pStyle w:val="Heading2"/>
      </w:pPr>
      <w:r>
        <w:t>5.2 资源约束仿真</w:t>
      </w:r>
    </w:p>
    <w:p>
      <w:r>
        <w:t>系统在仿真过程中同时考虑工人资源和设备资源。工人资源通过工人池进行分配和释放，关键设备通过设备管理器控制并发数量。任务只有在工序依赖、工人和设备同时满足时才可执行。</w:t>
      </w:r>
    </w:p>
    <w:p>
      <w:pPr>
        <w:pStyle w:val="Heading2"/>
      </w:pPr>
      <w:r>
        <w:t>5.3 返工与质量逻辑</w:t>
      </w:r>
    </w:p>
    <w:p>
      <w:r>
        <w:t>对于测量类或检验类任务，系统支持配置返工概率。任务完成后根据概率触发质量判断，若发生返工，系统释放当前资源、记录返工事件，并将任务重新纳入等待队列。</w:t>
      </w:r>
    </w:p>
    <w:p>
      <w:pPr>
        <w:pStyle w:val="Heading2"/>
      </w:pPr>
      <w:r>
        <w:t>5.4 人因疲劳与休息规则</w:t>
      </w:r>
    </w:p>
    <w:p>
      <w:r>
        <w:t>系统支持基于连续工作时间和负荷评分的休息策略。连续工作超过阈值或高负荷任务结束后，系统可插入休息事件，用于模拟人员疲劳恢复对生产节拍的影响。</w:t>
      </w:r>
    </w:p>
    <w:p>
      <w:pPr>
        <w:pStyle w:val="Heading2"/>
      </w:pPr>
      <w:r>
        <w:t>5.5 结果可视化与统计分析</w:t>
      </w:r>
    </w:p>
    <w:p>
      <w:pPr>
        <w:pStyle w:val="ListBullet"/>
      </w:pPr>
      <w:r>
        <w:rPr>
          <w:rFonts w:ascii="微软雅黑" w:hAnsi="微软雅黑" w:eastAsia="微软雅黑"/>
          <w:sz w:val="21"/>
        </w:rPr>
        <w:t>生产进度甘特图：展示发动机或任务维度的执行时间轴。</w:t>
      </w:r>
    </w:p>
    <w:p>
      <w:pPr>
        <w:pStyle w:val="ListBullet"/>
      </w:pPr>
      <w:r>
        <w:rPr>
          <w:rFonts w:ascii="微软雅黑" w:hAnsi="微软雅黑" w:eastAsia="微软雅黑"/>
          <w:sz w:val="21"/>
        </w:rPr>
        <w:t>资源甘特图：展示工人和设备的占用、等待和休息状态。</w:t>
      </w:r>
    </w:p>
    <w:p>
      <w:pPr>
        <w:pStyle w:val="ListBullet"/>
      </w:pPr>
      <w:r>
        <w:rPr>
          <w:rFonts w:ascii="微软雅黑" w:hAnsi="微软雅黑" w:eastAsia="微软雅黑"/>
          <w:sz w:val="21"/>
        </w:rPr>
        <w:t>KPI 指标：统计月产量、计划达成率、平均周期、返工率和资源利用率。</w:t>
      </w:r>
    </w:p>
    <w:p>
      <w:pPr>
        <w:pStyle w:val="ListBullet"/>
      </w:pPr>
      <w:r>
        <w:rPr>
          <w:rFonts w:ascii="微软雅黑" w:hAnsi="微软雅黑" w:eastAsia="微软雅黑"/>
          <w:sz w:val="21"/>
        </w:rPr>
        <w:t>瓶颈分析：识别设备瓶颈、工人瓶颈、等待时间瓶颈和高返工任务。</w:t>
      </w:r>
    </w:p>
    <w:p>
      <w:pPr>
        <w:pStyle w:val="ListBullet"/>
      </w:pPr>
      <w:r>
        <w:rPr>
          <w:rFonts w:ascii="微软雅黑" w:hAnsi="微软雅黑" w:eastAsia="微软雅黑"/>
          <w:sz w:val="21"/>
        </w:rPr>
        <w:t>数据导出：导出仿真结果、图表数据和分析报告。</w:t>
      </w:r>
    </w:p>
    <w:tbl>
      <w:tblPr>
        <w:tblStyle w:val="TableGrid"/>
        <w:tblW w:type="auto" w:w="0"/>
        <w:tblLook w:firstColumn="1" w:firstRow="1" w:lastColumn="0" w:lastRow="0" w:noHBand="0" w:noVBand="1" w:val="04A0"/>
      </w:tblPr>
      <w:tblGrid>
        <w:gridCol w:w="9412"/>
      </w:tblGrid>
      <w:tr>
        <w:tc>
          <w:tcPr>
            <w:tcW w:type="dxa" w:w="8928"/>
            <w:vAlign w:val="center"/>
          </w:tcPr>
          <w:p>
            <w:pPr>
              <w:jc w:val="center"/>
            </w:pPr>
            <w:r>
              <w:rPr>
                <w:rFonts w:ascii="微软雅黑" w:hAnsi="微软雅黑" w:eastAsia="微软雅黑"/>
                <w:color w:val="646464"/>
                <w:sz w:val="20"/>
              </w:rPr>
              <w:t>【截图占位：仿真结果仪表盘或 KPI 区域】</w:t>
            </w:r>
            <w:r>
              <w:br/>
            </w:r>
            <w:r>
              <w:br/>
            </w:r>
            <w:r>
              <w:br/>
            </w:r>
            <w:r>
              <w:br/>
            </w:r>
          </w:p>
        </w:tc>
      </w:tr>
    </w:tbl>
    <w:p/>
    <w:tbl>
      <w:tblPr>
        <w:tblStyle w:val="TableGrid"/>
        <w:tblW w:type="auto" w:w="0"/>
        <w:tblLook w:firstColumn="1" w:firstRow="1" w:lastColumn="0" w:lastRow="0" w:noHBand="0" w:noVBand="1" w:val="04A0"/>
      </w:tblPr>
      <w:tblGrid>
        <w:gridCol w:w="9412"/>
      </w:tblGrid>
      <w:tr>
        <w:tc>
          <w:tcPr>
            <w:tcW w:type="dxa" w:w="8928"/>
            <w:vAlign w:val="center"/>
          </w:tcPr>
          <w:p>
            <w:pPr>
              <w:jc w:val="center"/>
            </w:pPr>
            <w:r>
              <w:rPr>
                <w:rFonts w:ascii="微软雅黑" w:hAnsi="微软雅黑" w:eastAsia="微软雅黑"/>
                <w:color w:val="646464"/>
                <w:sz w:val="20"/>
              </w:rPr>
              <w:t>【截图占位：甘特图或资源利用率图表】</w:t>
            </w:r>
            <w:r>
              <w:br/>
            </w:r>
            <w:r>
              <w:br/>
            </w:r>
            <w:r>
              <w:br/>
            </w:r>
            <w:r>
              <w:br/>
            </w:r>
          </w:p>
        </w:tc>
      </w:tr>
    </w:tbl>
    <w:p/>
    <w:p>
      <w:pPr>
        <w:pStyle w:val="Heading1"/>
      </w:pPr>
      <w:r>
        <w:t>6. 操作流程</w:t>
      </w:r>
    </w:p>
    <w:p>
      <w:pPr>
        <w:pStyle w:val="ListNumber"/>
      </w:pPr>
      <w:r>
        <w:rPr>
          <w:rFonts w:ascii="微软雅黑" w:hAnsi="微软雅黑" w:eastAsia="微软雅黑"/>
          <w:sz w:val="21"/>
        </w:rPr>
        <w:t>启动系统服务并打开浏览器访问首页。</w:t>
      </w:r>
    </w:p>
    <w:p>
      <w:pPr>
        <w:pStyle w:val="ListNumber"/>
      </w:pPr>
      <w:r>
        <w:rPr>
          <w:rFonts w:ascii="微软雅黑" w:hAnsi="微软雅黑" w:eastAsia="微软雅黑"/>
          <w:sz w:val="21"/>
        </w:rPr>
        <w:t>导入装配工艺 CSV 文件，或在流程编辑界面维护工序节点。</w:t>
      </w:r>
    </w:p>
    <w:p>
      <w:pPr>
        <w:pStyle w:val="ListNumber"/>
      </w:pPr>
      <w:r>
        <w:rPr>
          <w:rFonts w:ascii="微软雅黑" w:hAnsi="微软雅黑" w:eastAsia="微软雅黑"/>
          <w:sz w:val="21"/>
        </w:rPr>
        <w:t>设置仿真参数，包括仿真时长、发动机数量、工人数量、设备数量、返工概率和休息规则。</w:t>
      </w:r>
    </w:p>
    <w:p>
      <w:pPr>
        <w:pStyle w:val="ListNumber"/>
      </w:pPr>
      <w:r>
        <w:rPr>
          <w:rFonts w:ascii="微软雅黑" w:hAnsi="微软雅黑" w:eastAsia="微软雅黑"/>
          <w:sz w:val="21"/>
        </w:rPr>
        <w:t>点击运行仿真，系统根据工艺依赖和资源约束推进离散事件。</w:t>
      </w:r>
    </w:p>
    <w:p>
      <w:pPr>
        <w:pStyle w:val="ListNumber"/>
      </w:pPr>
      <w:r>
        <w:rPr>
          <w:rFonts w:ascii="微软雅黑" w:hAnsi="微软雅黑" w:eastAsia="微软雅黑"/>
          <w:sz w:val="21"/>
        </w:rPr>
        <w:t>查看 KPI 指标、甘特图、资源利用率和瓶颈分析结果。</w:t>
      </w:r>
    </w:p>
    <w:p>
      <w:pPr>
        <w:pStyle w:val="ListNumber"/>
      </w:pPr>
      <w:r>
        <w:rPr>
          <w:rFonts w:ascii="微软雅黑" w:hAnsi="微软雅黑" w:eastAsia="微软雅黑"/>
          <w:sz w:val="21"/>
        </w:rPr>
        <w:t>根据分析结果调整资源配置或工艺参数，重复运行并比较方案差异。</w:t>
      </w:r>
    </w:p>
    <w:p>
      <w:pPr>
        <w:pStyle w:val="ListNumber"/>
      </w:pPr>
      <w:r>
        <w:rPr>
          <w:rFonts w:ascii="微软雅黑" w:hAnsi="微软雅黑" w:eastAsia="微软雅黑"/>
          <w:sz w:val="21"/>
        </w:rPr>
        <w:t>导出仿真结果和分析数据，用于报告或评审材料。</w:t>
      </w:r>
    </w:p>
    <w:p>
      <w:pPr>
        <w:pStyle w:val="Heading1"/>
      </w:pPr>
      <w:r>
        <w:t>7. 输入输出说明</w:t>
      </w:r>
    </w:p>
    <w:p>
      <w:pPr>
        <w:pStyle w:val="Heading2"/>
      </w:pPr>
      <w:r>
        <w:t>7.1 输入数据</w:t>
      </w:r>
    </w:p>
    <w:tbl>
      <w:tblPr>
        <w:tblStyle w:val="TableGrid"/>
        <w:tblW w:type="auto" w:w="0"/>
        <w:tblLayout w:type="fixed"/>
        <w:tblLook w:firstColumn="1" w:firstRow="1" w:lastColumn="0" w:lastRow="0" w:noHBand="0" w:noVBand="1" w:val="04A0"/>
      </w:tblPr>
      <w:tblGrid>
        <w:gridCol w:w="4706"/>
        <w:gridCol w:w="4706"/>
      </w:tblGrid>
      <w:tr>
        <w:tc>
          <w:tcPr>
            <w:tcW w:type="dxa" w:w="4706"/>
          </w:tcPr>
          <w:p>
            <w:r>
              <w:rPr>
                <w:rFonts w:ascii="微软雅黑" w:hAnsi="微软雅黑" w:eastAsia="微软雅黑"/>
                <w:b/>
              </w:rPr>
              <w:t>项目</w:t>
            </w:r>
          </w:p>
        </w:tc>
        <w:tc>
          <w:tcPr>
            <w:tcW w:type="dxa" w:w="4706"/>
          </w:tcPr>
          <w:p>
            <w:r>
              <w:rPr>
                <w:rFonts w:ascii="微软雅黑" w:hAnsi="微软雅黑" w:eastAsia="微软雅黑"/>
                <w:b/>
              </w:rPr>
              <w:t>内容</w:t>
            </w:r>
          </w:p>
        </w:tc>
      </w:tr>
      <w:tr>
        <w:tc>
          <w:tcPr>
            <w:tcW w:type="dxa" w:w="4706"/>
            <w:vAlign w:val="center"/>
          </w:tcPr>
          <w:p>
            <w:r>
              <w:rPr>
                <w:rFonts w:ascii="微软雅黑" w:hAnsi="微软雅黑" w:eastAsia="微软雅黑"/>
                <w:sz w:val="20"/>
              </w:rPr>
              <w:t>工艺流程数据</w:t>
            </w:r>
          </w:p>
        </w:tc>
        <w:tc>
          <w:tcPr>
            <w:tcW w:type="dxa" w:w="4706"/>
            <w:vAlign w:val="center"/>
          </w:tcPr>
          <w:p>
            <w:r>
              <w:rPr>
                <w:rFonts w:ascii="微软雅黑" w:hAnsi="微软雅黑" w:eastAsia="微软雅黑"/>
                <w:sz w:val="20"/>
              </w:rPr>
              <w:t>CSV 文件，包含工序编号、任务名称、工时、资源需求、前置关系等字段。</w:t>
            </w:r>
          </w:p>
        </w:tc>
      </w:tr>
      <w:tr>
        <w:tc>
          <w:tcPr>
            <w:tcW w:type="dxa" w:w="4706"/>
            <w:vAlign w:val="center"/>
          </w:tcPr>
          <w:p>
            <w:r>
              <w:rPr>
                <w:rFonts w:ascii="微软雅黑" w:hAnsi="微软雅黑" w:eastAsia="微软雅黑"/>
                <w:sz w:val="20"/>
              </w:rPr>
              <w:t>系统配置</w:t>
            </w:r>
          </w:p>
        </w:tc>
        <w:tc>
          <w:tcPr>
            <w:tcW w:type="dxa" w:w="4706"/>
            <w:vAlign w:val="center"/>
          </w:tcPr>
          <w:p>
            <w:r>
              <w:rPr>
                <w:rFonts w:ascii="微软雅黑" w:hAnsi="微软雅黑" w:eastAsia="微软雅黑"/>
                <w:sz w:val="20"/>
              </w:rPr>
              <w:t>YAML/JSON 参数，包含工人、设备、排班、休息规则和仿真控制参数。</w:t>
            </w:r>
          </w:p>
        </w:tc>
      </w:tr>
      <w:tr>
        <w:tc>
          <w:tcPr>
            <w:tcW w:type="dxa" w:w="4706"/>
            <w:vAlign w:val="center"/>
          </w:tcPr>
          <w:p>
            <w:r>
              <w:rPr>
                <w:rFonts w:ascii="微软雅黑" w:hAnsi="微软雅黑" w:eastAsia="微软雅黑"/>
                <w:sz w:val="20"/>
              </w:rPr>
              <w:t>用户操作</w:t>
            </w:r>
          </w:p>
        </w:tc>
        <w:tc>
          <w:tcPr>
            <w:tcW w:type="dxa" w:w="4706"/>
            <w:vAlign w:val="center"/>
          </w:tcPr>
          <w:p>
            <w:r>
              <w:rPr>
                <w:rFonts w:ascii="微软雅黑" w:hAnsi="微软雅黑" w:eastAsia="微软雅黑"/>
                <w:sz w:val="20"/>
              </w:rPr>
              <w:t>前端页面中的流程编辑、参数设置、运行控制和结果导出操作。</w:t>
            </w:r>
          </w:p>
        </w:tc>
      </w:tr>
    </w:tbl>
    <w:p/>
    <w:p>
      <w:pPr>
        <w:pStyle w:val="Heading2"/>
      </w:pPr>
      <w:r>
        <w:t>7.2 输出数据</w:t>
      </w:r>
    </w:p>
    <w:tbl>
      <w:tblPr>
        <w:tblStyle w:val="TableGrid"/>
        <w:tblW w:type="auto" w:w="0"/>
        <w:tblLayout w:type="fixed"/>
        <w:tblLook w:firstColumn="1" w:firstRow="1" w:lastColumn="0" w:lastRow="0" w:noHBand="0" w:noVBand="1" w:val="04A0"/>
      </w:tblPr>
      <w:tblGrid>
        <w:gridCol w:w="4706"/>
        <w:gridCol w:w="4706"/>
      </w:tblGrid>
      <w:tr>
        <w:tc>
          <w:tcPr>
            <w:tcW w:type="dxa" w:w="4706"/>
          </w:tcPr>
          <w:p>
            <w:r>
              <w:rPr>
                <w:rFonts w:ascii="微软雅黑" w:hAnsi="微软雅黑" w:eastAsia="微软雅黑"/>
                <w:b/>
              </w:rPr>
              <w:t>项目</w:t>
            </w:r>
          </w:p>
        </w:tc>
        <w:tc>
          <w:tcPr>
            <w:tcW w:type="dxa" w:w="4706"/>
          </w:tcPr>
          <w:p>
            <w:r>
              <w:rPr>
                <w:rFonts w:ascii="微软雅黑" w:hAnsi="微软雅黑" w:eastAsia="微软雅黑"/>
                <w:b/>
              </w:rPr>
              <w:t>内容</w:t>
            </w:r>
          </w:p>
        </w:tc>
      </w:tr>
      <w:tr>
        <w:tc>
          <w:tcPr>
            <w:tcW w:type="dxa" w:w="4706"/>
            <w:vAlign w:val="center"/>
          </w:tcPr>
          <w:p>
            <w:r>
              <w:rPr>
                <w:rFonts w:ascii="微软雅黑" w:hAnsi="微软雅黑" w:eastAsia="微软雅黑"/>
                <w:sz w:val="20"/>
              </w:rPr>
              <w:t>仿真结果</w:t>
            </w:r>
          </w:p>
        </w:tc>
        <w:tc>
          <w:tcPr>
            <w:tcW w:type="dxa" w:w="4706"/>
            <w:vAlign w:val="center"/>
          </w:tcPr>
          <w:p>
            <w:r>
              <w:rPr>
                <w:rFonts w:ascii="微软雅黑" w:hAnsi="微软雅黑" w:eastAsia="微软雅黑"/>
                <w:sz w:val="20"/>
              </w:rPr>
              <w:t>包含任务开始/结束时间、等待时间、返工次数和完成状态。</w:t>
            </w:r>
          </w:p>
        </w:tc>
      </w:tr>
      <w:tr>
        <w:tc>
          <w:tcPr>
            <w:tcW w:type="dxa" w:w="4706"/>
            <w:vAlign w:val="center"/>
          </w:tcPr>
          <w:p>
            <w:r>
              <w:rPr>
                <w:rFonts w:ascii="微软雅黑" w:hAnsi="微软雅黑" w:eastAsia="微软雅黑"/>
                <w:sz w:val="20"/>
              </w:rPr>
              <w:t>统计指标</w:t>
            </w:r>
          </w:p>
        </w:tc>
        <w:tc>
          <w:tcPr>
            <w:tcW w:type="dxa" w:w="4706"/>
            <w:vAlign w:val="center"/>
          </w:tcPr>
          <w:p>
            <w:r>
              <w:rPr>
                <w:rFonts w:ascii="微软雅黑" w:hAnsi="微软雅黑" w:eastAsia="微软雅黑"/>
                <w:sz w:val="20"/>
              </w:rPr>
              <w:t>包含产量、周期、资源利用率、返工率、等待时间和瓶颈信息。</w:t>
            </w:r>
          </w:p>
        </w:tc>
      </w:tr>
      <w:tr>
        <w:tc>
          <w:tcPr>
            <w:tcW w:type="dxa" w:w="4706"/>
            <w:vAlign w:val="center"/>
          </w:tcPr>
          <w:p>
            <w:r>
              <w:rPr>
                <w:rFonts w:ascii="微软雅黑" w:hAnsi="微软雅黑" w:eastAsia="微软雅黑"/>
                <w:sz w:val="20"/>
              </w:rPr>
              <w:t>图表数据</w:t>
            </w:r>
          </w:p>
        </w:tc>
        <w:tc>
          <w:tcPr>
            <w:tcW w:type="dxa" w:w="4706"/>
            <w:vAlign w:val="center"/>
          </w:tcPr>
          <w:p>
            <w:r>
              <w:rPr>
                <w:rFonts w:ascii="微软雅黑" w:hAnsi="微软雅黑" w:eastAsia="微软雅黑"/>
                <w:sz w:val="20"/>
              </w:rPr>
              <w:t>用于甘特图、资源利用率图、趋势图和分析面板展示。</w:t>
            </w:r>
          </w:p>
        </w:tc>
      </w:tr>
      <w:tr>
        <w:tc>
          <w:tcPr>
            <w:tcW w:type="dxa" w:w="4706"/>
            <w:vAlign w:val="center"/>
          </w:tcPr>
          <w:p>
            <w:r>
              <w:rPr>
                <w:rFonts w:ascii="微软雅黑" w:hAnsi="微软雅黑" w:eastAsia="微软雅黑"/>
                <w:sz w:val="20"/>
              </w:rPr>
              <w:t>导出文件</w:t>
            </w:r>
          </w:p>
        </w:tc>
        <w:tc>
          <w:tcPr>
            <w:tcW w:type="dxa" w:w="4706"/>
            <w:vAlign w:val="center"/>
          </w:tcPr>
          <w:p>
            <w:r>
              <w:rPr>
                <w:rFonts w:ascii="微软雅黑" w:hAnsi="微软雅黑" w:eastAsia="微软雅黑"/>
                <w:sz w:val="20"/>
              </w:rPr>
              <w:t>支持 JSON、CSV 等格式，便于后续分析和归档。</w:t>
            </w:r>
          </w:p>
        </w:tc>
      </w:tr>
    </w:tbl>
    <w:p/>
    <w:p>
      <w:pPr>
        <w:pStyle w:val="Heading1"/>
      </w:pPr>
      <w:r>
        <w:t>8. 核心算法说明</w:t>
      </w:r>
    </w:p>
    <w:p>
      <w:pPr>
        <w:pStyle w:val="Heading2"/>
      </w:pPr>
      <w:r>
        <w:t>8.1 离散事件仿真</w:t>
      </w:r>
    </w:p>
    <w:p>
      <w:r>
        <w:t>系统采用离散事件仿真方法推进时间。仿真时钟不按固定步长连续推进，而是在任务开始、任务完成、资源释放、返工和休息等事件之间跳转，从而提高长周期装配流程的计算效率。</w:t>
      </w:r>
    </w:p>
    <w:p>
      <w:pPr>
        <w:pStyle w:val="Heading2"/>
      </w:pPr>
      <w:r>
        <w:t>8.2 DAG 调度</w:t>
      </w:r>
    </w:p>
    <w:p>
      <w:r>
        <w:t>装配流程被抽象为有向无环图。系统根据工序前置关系执行拓扑调度，只有当前置工序全部完成后，后续工序才进入就绪集合。调度器在每个事件点检查就绪任务并尝试申请资源。</w:t>
      </w:r>
    </w:p>
    <w:p>
      <w:pPr>
        <w:pStyle w:val="Heading2"/>
      </w:pPr>
      <w:r>
        <w:t>8.3 资源受限调度</w:t>
      </w:r>
    </w:p>
    <w:p>
      <w:r>
        <w:t>任务执行前需要申请工人和设备资源。工人池优先分配空闲且负荷较低的工人，设备管理器对关键设备执行并发数量限制。资源不足时，任务进入等待状态并记录等待时间。</w:t>
      </w:r>
    </w:p>
    <w:p>
      <w:pPr>
        <w:pStyle w:val="Heading2"/>
      </w:pPr>
      <w:r>
        <w:t>8.4 统计分析</w:t>
      </w:r>
    </w:p>
    <w:p>
      <w:r>
        <w:t>事件收集器记录仿真过程中的开始、完成、等待、返工和休息事件。统计模块基于事件序列计算周期、利用率、等待时间、瓶颈分布和质量相关指标，为排产方案比较提供量化依据。</w:t>
      </w:r>
    </w:p>
    <w:p>
      <w:pPr>
        <w:pStyle w:val="Heading1"/>
      </w:pPr>
      <w:r>
        <w:t>9. 接口与模块说明</w:t>
      </w:r>
    </w:p>
    <w:tbl>
      <w:tblPr>
        <w:tblStyle w:val="TableGrid"/>
        <w:tblW w:type="auto" w:w="0"/>
        <w:tblLayout w:type="fixed"/>
        <w:tblLook w:firstColumn="1" w:firstRow="1" w:lastColumn="0" w:lastRow="0" w:noHBand="0" w:noVBand="1" w:val="04A0"/>
      </w:tblPr>
      <w:tblGrid>
        <w:gridCol w:w="4706"/>
        <w:gridCol w:w="4706"/>
      </w:tblGrid>
      <w:tr>
        <w:tc>
          <w:tcPr>
            <w:tcW w:type="dxa" w:w="4706"/>
          </w:tcPr>
          <w:p>
            <w:r>
              <w:rPr>
                <w:rFonts w:ascii="微软雅黑" w:hAnsi="微软雅黑" w:eastAsia="微软雅黑"/>
                <w:b/>
              </w:rPr>
              <w:t>项目</w:t>
            </w:r>
          </w:p>
        </w:tc>
        <w:tc>
          <w:tcPr>
            <w:tcW w:type="dxa" w:w="4706"/>
          </w:tcPr>
          <w:p>
            <w:r>
              <w:rPr>
                <w:rFonts w:ascii="微软雅黑" w:hAnsi="微软雅黑" w:eastAsia="微软雅黑"/>
                <w:b/>
              </w:rPr>
              <w:t>内容</w:t>
            </w:r>
          </w:p>
        </w:tc>
      </w:tr>
      <w:tr>
        <w:tc>
          <w:tcPr>
            <w:tcW w:type="dxa" w:w="4706"/>
            <w:vAlign w:val="center"/>
          </w:tcPr>
          <w:p>
            <w:r>
              <w:rPr>
                <w:rFonts w:ascii="微软雅黑" w:hAnsi="微软雅黑" w:eastAsia="微软雅黑"/>
                <w:sz w:val="20"/>
              </w:rPr>
              <w:t>app/main.py</w:t>
            </w:r>
          </w:p>
        </w:tc>
        <w:tc>
          <w:tcPr>
            <w:tcW w:type="dxa" w:w="4706"/>
            <w:vAlign w:val="center"/>
          </w:tcPr>
          <w:p>
            <w:r>
              <w:rPr>
                <w:rFonts w:ascii="微软雅黑" w:hAnsi="微软雅黑" w:eastAsia="微软雅黑"/>
                <w:sz w:val="20"/>
              </w:rPr>
              <w:t>FastAPI 应用入口，注册静态资源和 API 路由。</w:t>
            </w:r>
          </w:p>
        </w:tc>
      </w:tr>
      <w:tr>
        <w:tc>
          <w:tcPr>
            <w:tcW w:type="dxa" w:w="4706"/>
            <w:vAlign w:val="center"/>
          </w:tcPr>
          <w:p>
            <w:r>
              <w:rPr>
                <w:rFonts w:ascii="微软雅黑" w:hAnsi="微软雅黑" w:eastAsia="微软雅黑"/>
                <w:sz w:val="20"/>
              </w:rPr>
              <w:t>app/api/config.py</w:t>
            </w:r>
          </w:p>
        </w:tc>
        <w:tc>
          <w:tcPr>
            <w:tcW w:type="dxa" w:w="4706"/>
            <w:vAlign w:val="center"/>
          </w:tcPr>
          <w:p>
            <w:r>
              <w:rPr>
                <w:rFonts w:ascii="微软雅黑" w:hAnsi="微软雅黑" w:eastAsia="微软雅黑"/>
                <w:sz w:val="20"/>
              </w:rPr>
              <w:t>系统配置读取、保存和校验接口。</w:t>
            </w:r>
          </w:p>
        </w:tc>
      </w:tr>
      <w:tr>
        <w:tc>
          <w:tcPr>
            <w:tcW w:type="dxa" w:w="4706"/>
            <w:vAlign w:val="center"/>
          </w:tcPr>
          <w:p>
            <w:r>
              <w:rPr>
                <w:rFonts w:ascii="微软雅黑" w:hAnsi="微软雅黑" w:eastAsia="微软雅黑"/>
                <w:sz w:val="20"/>
              </w:rPr>
              <w:t>app/api/process.py</w:t>
            </w:r>
          </w:p>
        </w:tc>
        <w:tc>
          <w:tcPr>
            <w:tcW w:type="dxa" w:w="4706"/>
            <w:vAlign w:val="center"/>
          </w:tcPr>
          <w:p>
            <w:r>
              <w:rPr>
                <w:rFonts w:ascii="微软雅黑" w:hAnsi="微软雅黑" w:eastAsia="微软雅黑"/>
                <w:sz w:val="20"/>
              </w:rPr>
              <w:t>工艺流程导入、编辑和查询接口。</w:t>
            </w:r>
          </w:p>
        </w:tc>
      </w:tr>
      <w:tr>
        <w:tc>
          <w:tcPr>
            <w:tcW w:type="dxa" w:w="4706"/>
            <w:vAlign w:val="center"/>
          </w:tcPr>
          <w:p>
            <w:r>
              <w:rPr>
                <w:rFonts w:ascii="微软雅黑" w:hAnsi="微软雅黑" w:eastAsia="微软雅黑"/>
                <w:sz w:val="20"/>
              </w:rPr>
              <w:t>app/api/simulation.py</w:t>
            </w:r>
          </w:p>
        </w:tc>
        <w:tc>
          <w:tcPr>
            <w:tcW w:type="dxa" w:w="4706"/>
            <w:vAlign w:val="center"/>
          </w:tcPr>
          <w:p>
            <w:r>
              <w:rPr>
                <w:rFonts w:ascii="微软雅黑" w:hAnsi="微软雅黑" w:eastAsia="微软雅黑"/>
                <w:sz w:val="20"/>
              </w:rPr>
              <w:t>仿真启动、状态控制和参数提交接口。</w:t>
            </w:r>
          </w:p>
        </w:tc>
      </w:tr>
      <w:tr>
        <w:tc>
          <w:tcPr>
            <w:tcW w:type="dxa" w:w="4706"/>
            <w:vAlign w:val="center"/>
          </w:tcPr>
          <w:p>
            <w:r>
              <w:rPr>
                <w:rFonts w:ascii="微软雅黑" w:hAnsi="微软雅黑" w:eastAsia="微软雅黑"/>
                <w:sz w:val="20"/>
              </w:rPr>
              <w:t>app/api/results.py</w:t>
            </w:r>
          </w:p>
        </w:tc>
        <w:tc>
          <w:tcPr>
            <w:tcW w:type="dxa" w:w="4706"/>
            <w:vAlign w:val="center"/>
          </w:tcPr>
          <w:p>
            <w:r>
              <w:rPr>
                <w:rFonts w:ascii="微软雅黑" w:hAnsi="微软雅黑" w:eastAsia="微软雅黑"/>
                <w:sz w:val="20"/>
              </w:rPr>
              <w:t>仿真结果查询、统计和导出接口。</w:t>
            </w:r>
          </w:p>
        </w:tc>
      </w:tr>
      <w:tr>
        <w:tc>
          <w:tcPr>
            <w:tcW w:type="dxa" w:w="4706"/>
            <w:vAlign w:val="center"/>
          </w:tcPr>
          <w:p>
            <w:r>
              <w:rPr>
                <w:rFonts w:ascii="微软雅黑" w:hAnsi="微软雅黑" w:eastAsia="微软雅黑"/>
                <w:sz w:val="20"/>
              </w:rPr>
              <w:t>app/core/simulation_engine.py</w:t>
            </w:r>
          </w:p>
        </w:tc>
        <w:tc>
          <w:tcPr>
            <w:tcW w:type="dxa" w:w="4706"/>
            <w:vAlign w:val="center"/>
          </w:tcPr>
          <w:p>
            <w:r>
              <w:rPr>
                <w:rFonts w:ascii="微软雅黑" w:hAnsi="微软雅黑" w:eastAsia="微软雅黑"/>
                <w:sz w:val="20"/>
              </w:rPr>
              <w:t>仿真主引擎，协调事件推进和流水线控制。</w:t>
            </w:r>
          </w:p>
        </w:tc>
      </w:tr>
      <w:tr>
        <w:tc>
          <w:tcPr>
            <w:tcW w:type="dxa" w:w="4706"/>
            <w:vAlign w:val="center"/>
          </w:tcPr>
          <w:p>
            <w:r>
              <w:rPr>
                <w:rFonts w:ascii="微软雅黑" w:hAnsi="微软雅黑" w:eastAsia="微软雅黑"/>
                <w:sz w:val="20"/>
              </w:rPr>
              <w:t>app/core/task_executor.py</w:t>
            </w:r>
          </w:p>
        </w:tc>
        <w:tc>
          <w:tcPr>
            <w:tcW w:type="dxa" w:w="4706"/>
            <w:vAlign w:val="center"/>
          </w:tcPr>
          <w:p>
            <w:r>
              <w:rPr>
                <w:rFonts w:ascii="微软雅黑" w:hAnsi="微软雅黑" w:eastAsia="微软雅黑"/>
                <w:sz w:val="20"/>
              </w:rPr>
              <w:t>任务执行生命周期控制。</w:t>
            </w:r>
          </w:p>
        </w:tc>
      </w:tr>
      <w:tr>
        <w:tc>
          <w:tcPr>
            <w:tcW w:type="dxa" w:w="4706"/>
            <w:vAlign w:val="center"/>
          </w:tcPr>
          <w:p>
            <w:r>
              <w:rPr>
                <w:rFonts w:ascii="微软雅黑" w:hAnsi="微软雅黑" w:eastAsia="微软雅黑"/>
                <w:sz w:val="20"/>
              </w:rPr>
              <w:t>app/core/worker_pool.py</w:t>
            </w:r>
          </w:p>
        </w:tc>
        <w:tc>
          <w:tcPr>
            <w:tcW w:type="dxa" w:w="4706"/>
            <w:vAlign w:val="center"/>
          </w:tcPr>
          <w:p>
            <w:r>
              <w:rPr>
                <w:rFonts w:ascii="微软雅黑" w:hAnsi="微软雅黑" w:eastAsia="微软雅黑"/>
                <w:sz w:val="20"/>
              </w:rPr>
              <w:t>工人资源池管理。</w:t>
            </w:r>
          </w:p>
        </w:tc>
      </w:tr>
      <w:tr>
        <w:tc>
          <w:tcPr>
            <w:tcW w:type="dxa" w:w="4706"/>
            <w:vAlign w:val="center"/>
          </w:tcPr>
          <w:p>
            <w:r>
              <w:rPr>
                <w:rFonts w:ascii="微软雅黑" w:hAnsi="微软雅黑" w:eastAsia="微软雅黑"/>
                <w:sz w:val="20"/>
              </w:rPr>
              <w:t>app/core/equipment_manager.py</w:t>
            </w:r>
          </w:p>
        </w:tc>
        <w:tc>
          <w:tcPr>
            <w:tcW w:type="dxa" w:w="4706"/>
            <w:vAlign w:val="center"/>
          </w:tcPr>
          <w:p>
            <w:r>
              <w:rPr>
                <w:rFonts w:ascii="微软雅黑" w:hAnsi="微软雅黑" w:eastAsia="微软雅黑"/>
                <w:sz w:val="20"/>
              </w:rPr>
              <w:t>设备资源管理。</w:t>
            </w:r>
          </w:p>
        </w:tc>
      </w:tr>
      <w:tr>
        <w:tc>
          <w:tcPr>
            <w:tcW w:type="dxa" w:w="4706"/>
            <w:vAlign w:val="center"/>
          </w:tcPr>
          <w:p>
            <w:r>
              <w:rPr>
                <w:rFonts w:ascii="微软雅黑" w:hAnsi="微软雅黑" w:eastAsia="微软雅黑"/>
                <w:sz w:val="20"/>
              </w:rPr>
              <w:t>frontend/js</w:t>
            </w:r>
          </w:p>
        </w:tc>
        <w:tc>
          <w:tcPr>
            <w:tcW w:type="dxa" w:w="4706"/>
            <w:vAlign w:val="center"/>
          </w:tcPr>
          <w:p>
            <w:r>
              <w:rPr>
                <w:rFonts w:ascii="微软雅黑" w:hAnsi="微软雅黑" w:eastAsia="微软雅黑"/>
                <w:sz w:val="20"/>
              </w:rPr>
              <w:t>前端交互、图表、画布、数据处理和页面状态管理。</w:t>
            </w:r>
          </w:p>
        </w:tc>
      </w:tr>
    </w:tbl>
    <w:p/>
    <w:p>
      <w:pPr>
        <w:pStyle w:val="Heading1"/>
      </w:pPr>
      <w:r>
        <w:t>10. 异常处理与数据校验</w:t>
      </w:r>
    </w:p>
    <w:p>
      <w:pPr>
        <w:pStyle w:val="ListBullet"/>
      </w:pPr>
      <w:r>
        <w:rPr>
          <w:rFonts w:ascii="微软雅黑" w:hAnsi="微软雅黑" w:eastAsia="微软雅黑"/>
          <w:sz w:val="21"/>
        </w:rPr>
        <w:t>导入 CSV 时校验必要字段、数据类型和工序编号唯一性。</w:t>
      </w:r>
    </w:p>
    <w:p>
      <w:pPr>
        <w:pStyle w:val="ListBullet"/>
      </w:pPr>
      <w:r>
        <w:rPr>
          <w:rFonts w:ascii="微软雅黑" w:hAnsi="微软雅黑" w:eastAsia="微软雅黑"/>
          <w:sz w:val="21"/>
        </w:rPr>
        <w:t>构建 DAG 时校验前置关系，避免出现循环依赖或孤立错误。</w:t>
      </w:r>
    </w:p>
    <w:p>
      <w:pPr>
        <w:pStyle w:val="ListBullet"/>
      </w:pPr>
      <w:r>
        <w:rPr>
          <w:rFonts w:ascii="微软雅黑" w:hAnsi="微软雅黑" w:eastAsia="微软雅黑"/>
          <w:sz w:val="21"/>
        </w:rPr>
        <w:t>运行仿真前校验资源数量、仿真时长和参数范围。</w:t>
      </w:r>
    </w:p>
    <w:p>
      <w:pPr>
        <w:pStyle w:val="ListBullet"/>
      </w:pPr>
      <w:r>
        <w:rPr>
          <w:rFonts w:ascii="微软雅黑" w:hAnsi="微软雅黑" w:eastAsia="微软雅黑"/>
          <w:sz w:val="21"/>
        </w:rPr>
        <w:t>接口返回结构化错误信息，前端提示用户修正输入。</w:t>
      </w:r>
    </w:p>
    <w:p>
      <w:pPr>
        <w:pStyle w:val="ListBullet"/>
      </w:pPr>
      <w:r>
        <w:rPr>
          <w:rFonts w:ascii="微软雅黑" w:hAnsi="微软雅黑" w:eastAsia="微软雅黑"/>
          <w:sz w:val="21"/>
        </w:rPr>
        <w:t>仿真结果导出前检查结果对象是否完整，避免导出空数据。</w:t>
      </w:r>
    </w:p>
    <w:p>
      <w:pPr>
        <w:pStyle w:val="Heading1"/>
      </w:pPr>
      <w:r>
        <w:t>11. 文档维护说明</w:t>
      </w:r>
    </w:p>
    <w:p>
      <w:r>
        <w:t>本说明书为软著申请和项目交付使用的基础版本。后续可根据实际系统界面补充截图，并根据最终著作权人、完成日期、首次发表日期和部署方式更新封面及基本信息表。</w:t>
      </w:r>
    </w:p>
    <w:p>
      <w:pPr>
        <w:pStyle w:val="ListBullet"/>
      </w:pPr>
      <w:r>
        <w:rPr>
          <w:rFonts w:ascii="微软雅黑" w:hAnsi="微软雅黑" w:eastAsia="微软雅黑"/>
          <w:sz w:val="21"/>
        </w:rPr>
        <w:t>建议补充系统首页、流程编辑、参数配置、仿真结果、甘特图和导出结果截图。</w:t>
      </w:r>
    </w:p>
    <w:p>
      <w:pPr>
        <w:pStyle w:val="ListBullet"/>
      </w:pPr>
      <w:r>
        <w:rPr>
          <w:rFonts w:ascii="微软雅黑" w:hAnsi="微软雅黑" w:eastAsia="微软雅黑"/>
          <w:sz w:val="21"/>
        </w:rPr>
        <w:t>所有截图下方可添加“图 1”“图 2”等编号说明。</w:t>
      </w:r>
    </w:p>
    <w:p>
      <w:pPr>
        <w:pStyle w:val="ListBullet"/>
      </w:pPr>
      <w:r>
        <w:rPr>
          <w:rFonts w:ascii="微软雅黑" w:hAnsi="微软雅黑" w:eastAsia="微软雅黑"/>
          <w:sz w:val="21"/>
        </w:rPr>
        <w:t>申请表、说明书、源程序页眉中的软件名称和版本号应保持一致。</w:t>
      </w:r>
    </w:p>
    <w:sectPr w:rsidR="00FC693F" w:rsidRPr="0006063C" w:rsidSect="00034616">
      <w:headerReference w:type="default" r:id="rId9"/>
      <w:footerReference w:type="default" r:id="rId10"/>
      <w:pgSz w:w="11906" w:h="16838"/>
      <w:pgMar w:top="1247" w:right="1247" w:bottom="124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fldChar w:fldCharType="begin"/>
      <w:instrText xml:space="preserve">PAGE</w:instrText>
      <w:fldChar w:fldCharType="end"/>
    </w:r>
    <w:r>
      <w:rPr>
        <w:rFonts w:ascii="宋体" w:hAnsi="宋体"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航空发动机装配排产仿真系统 V1.0 软件说明书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微软雅黑" w:hAnsi="微软雅黑"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