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8DA55"/>
    <w:p w14:paraId="2183FEA8"/>
    <w:p w14:paraId="63ED475D"/>
    <w:tbl>
      <w:tblPr>
        <w:tblStyle w:val="34"/>
        <w:tblW w:w="0" w:type="auto"/>
        <w:jc w:val="center"/>
        <w:tblLayout w:type="autofit"/>
        <w:tblCellMar>
          <w:top w:w="0" w:type="dxa"/>
          <w:left w:w="108" w:type="dxa"/>
          <w:bottom w:w="0" w:type="dxa"/>
          <w:right w:w="108" w:type="dxa"/>
        </w:tblCellMar>
      </w:tblPr>
      <w:tblGrid>
        <w:gridCol w:w="9360"/>
      </w:tblGrid>
      <w:tr w14:paraId="08C96E81">
        <w:tblPrEx>
          <w:tblCellMar>
            <w:top w:w="0" w:type="dxa"/>
            <w:left w:w="108" w:type="dxa"/>
            <w:bottom w:w="0" w:type="dxa"/>
            <w:right w:w="108" w:type="dxa"/>
          </w:tblCellMar>
        </w:tblPrEx>
        <w:trPr>
          <w:jc w:val="center"/>
        </w:trPr>
        <w:tc>
          <w:tcPr>
            <w:tcW w:w="9360" w:type="dxa"/>
            <w:shd w:val="clear" w:color="auto" w:fill="16A3B6"/>
            <w:tcMar>
              <w:top w:w="70" w:type="dxa"/>
              <w:left w:w="0" w:type="dxa"/>
              <w:bottom w:w="70" w:type="dxa"/>
              <w:right w:w="0" w:type="dxa"/>
            </w:tcMar>
          </w:tcPr>
          <w:p w14:paraId="5182C087"/>
        </w:tc>
      </w:tr>
    </w:tbl>
    <w:p w14:paraId="78E2B6FD">
      <w:pPr>
        <w:spacing w:before="640" w:after="240"/>
        <w:jc w:val="center"/>
      </w:pPr>
      <w:r>
        <w:rPr>
          <w:rFonts w:ascii="微软雅黑" w:hAnsi="微软雅黑" w:eastAsia="微软雅黑"/>
          <w:b/>
          <w:color w:val="17324D"/>
          <w:sz w:val="56"/>
        </w:rPr>
        <w:t>航空发动机装配排产仿真系统</w:t>
      </w:r>
    </w:p>
    <w:p w14:paraId="25146C43">
      <w:pPr>
        <w:spacing w:after="360"/>
        <w:jc w:val="center"/>
      </w:pPr>
      <w:r>
        <w:rPr>
          <w:rFonts w:ascii="微软雅黑" w:hAnsi="微软雅黑" w:eastAsia="微软雅黑"/>
          <w:b/>
          <w:color w:val="1769AA"/>
          <w:sz w:val="48"/>
        </w:rPr>
        <w:t>软件说明书</w:t>
      </w:r>
    </w:p>
    <w:p w14:paraId="34BF2C9A">
      <w:pPr>
        <w:jc w:val="center"/>
      </w:pPr>
      <w:r>
        <w:rPr>
          <w:rFonts w:ascii="微软雅黑" w:hAnsi="微软雅黑" w:eastAsia="微软雅黑"/>
          <w:color w:val="5B6675"/>
          <w:sz w:val="28"/>
        </w:rPr>
        <w:t xml:space="preserve">文档鉴别材料 </w:t>
      </w:r>
    </w:p>
    <w:p w14:paraId="601DB1E3"/>
    <w:tbl>
      <w:tblPr>
        <w:tblStyle w:val="34"/>
        <w:tblW w:w="0" w:type="auto"/>
        <w:jc w:val="center"/>
        <w:tblLayout w:type="fixed"/>
        <w:tblCellMar>
          <w:top w:w="0" w:type="dxa"/>
          <w:left w:w="108" w:type="dxa"/>
          <w:bottom w:w="0" w:type="dxa"/>
          <w:right w:w="108" w:type="dxa"/>
        </w:tblCellMar>
      </w:tblPr>
      <w:tblGrid>
        <w:gridCol w:w="4681"/>
        <w:gridCol w:w="4681"/>
      </w:tblGrid>
      <w:tr w14:paraId="430CFBD6">
        <w:tblPrEx>
          <w:tblCellMar>
            <w:top w:w="0" w:type="dxa"/>
            <w:left w:w="108" w:type="dxa"/>
            <w:bottom w:w="0" w:type="dxa"/>
            <w:right w:w="108" w:type="dxa"/>
          </w:tblCellMar>
        </w:tblPrEx>
        <w:trPr>
          <w:jc w:val="center"/>
        </w:trPr>
        <w:tc>
          <w:tcPr>
            <w:tcW w:w="130" w:type="dxa"/>
            <w:shd w:val="clear" w:color="auto" w:fill="16A3B6"/>
            <w:tcMar>
              <w:top w:w="0" w:type="dxa"/>
              <w:left w:w="0" w:type="dxa"/>
              <w:bottom w:w="0" w:type="dxa"/>
              <w:right w:w="0" w:type="dxa"/>
            </w:tcMar>
          </w:tcPr>
          <w:p w14:paraId="0477C0AF"/>
        </w:tc>
        <w:tc>
          <w:tcPr>
            <w:tcW w:w="9230" w:type="dxa"/>
            <w:shd w:val="clear" w:color="auto" w:fill="EAF4FA"/>
            <w:tcMar>
              <w:top w:w="120" w:type="dxa"/>
              <w:left w:w="180" w:type="dxa"/>
              <w:bottom w:w="120" w:type="dxa"/>
              <w:right w:w="180" w:type="dxa"/>
            </w:tcMar>
          </w:tcPr>
          <w:p w14:paraId="2D4406D7">
            <w:pPr>
              <w:spacing w:after="0"/>
            </w:pPr>
            <w:r>
              <w:rPr>
                <w:rFonts w:ascii="微软雅黑" w:hAnsi="微软雅黑" w:eastAsia="微软雅黑"/>
                <w:b/>
                <w:color w:val="17324D"/>
                <w:sz w:val="21"/>
              </w:rPr>
              <w:t xml:space="preserve">补正说明  </w:t>
            </w:r>
            <w:r>
              <w:rPr>
                <w:rFonts w:ascii="微软雅黑" w:hAnsi="微软雅黑" w:eastAsia="微软雅黑"/>
                <w:color w:val="243041"/>
                <w:sz w:val="21"/>
              </w:rPr>
              <w:t>本版结合申请表所列主要功能、技术特点及源程序实现，补充真实运行界面、连贯操作流程、全部功能模块和技术对应关系。</w:t>
            </w:r>
          </w:p>
        </w:tc>
      </w:tr>
    </w:tbl>
    <w:p w14:paraId="5D4903F3"/>
    <w:p w14:paraId="688F1F23"/>
    <w:p w14:paraId="7FC95691"/>
    <w:p w14:paraId="4B820CE4"/>
    <w:tbl>
      <w:tblPr>
        <w:tblStyle w:val="34"/>
        <w:tblW w:w="0" w:type="auto"/>
        <w:jc w:val="center"/>
        <w:tblLayout w:type="fixed"/>
        <w:tblCellMar>
          <w:top w:w="0" w:type="dxa"/>
          <w:left w:w="108" w:type="dxa"/>
          <w:bottom w:w="0" w:type="dxa"/>
          <w:right w:w="108" w:type="dxa"/>
        </w:tblCellMar>
      </w:tblPr>
      <w:tblGrid>
        <w:gridCol w:w="4681"/>
        <w:gridCol w:w="4681"/>
      </w:tblGrid>
      <w:tr w14:paraId="44176C52">
        <w:tblPrEx>
          <w:tblCellMar>
            <w:top w:w="0" w:type="dxa"/>
            <w:left w:w="108" w:type="dxa"/>
            <w:bottom w:w="0" w:type="dxa"/>
            <w:right w:w="108" w:type="dxa"/>
          </w:tblCellMar>
        </w:tblPrEx>
        <w:trPr>
          <w:cantSplit/>
          <w:jc w:val="center"/>
        </w:trPr>
        <w:tc>
          <w:tcPr>
            <w:tcW w:w="4681" w:type="dxa"/>
            <w:shd w:val="clear" w:color="auto" w:fill="EAF4FA"/>
            <w:tcMar>
              <w:top w:w="130" w:type="dxa"/>
              <w:left w:w="150" w:type="dxa"/>
              <w:bottom w:w="130" w:type="dxa"/>
              <w:right w:w="150" w:type="dxa"/>
            </w:tcMar>
          </w:tcPr>
          <w:p w14:paraId="1B84C8C6">
            <w:pPr>
              <w:jc w:val="center"/>
            </w:pPr>
            <w:r>
              <w:rPr>
                <w:rFonts w:ascii="微软雅黑" w:hAnsi="微软雅黑" w:eastAsia="微软雅黑"/>
                <w:b/>
                <w:color w:val="17324D"/>
                <w:sz w:val="22"/>
              </w:rPr>
              <w:t>软件版本</w:t>
            </w:r>
          </w:p>
        </w:tc>
        <w:tc>
          <w:tcPr>
            <w:tcW w:w="4681" w:type="dxa"/>
            <w:shd w:val="clear" w:color="auto" w:fill="FFFFFF"/>
            <w:tcMar>
              <w:top w:w="130" w:type="dxa"/>
              <w:left w:w="150" w:type="dxa"/>
              <w:bottom w:w="130" w:type="dxa"/>
              <w:right w:w="150" w:type="dxa"/>
            </w:tcMar>
          </w:tcPr>
          <w:p w14:paraId="77CF8C2E">
            <w:pPr>
              <w:jc w:val="left"/>
            </w:pPr>
            <w:r>
              <w:rPr>
                <w:rFonts w:ascii="微软雅黑" w:hAnsi="微软雅黑" w:eastAsia="微软雅黑"/>
                <w:b w:val="0"/>
                <w:color w:val="243041"/>
                <w:sz w:val="22"/>
              </w:rPr>
              <w:t>V1.0</w:t>
            </w:r>
          </w:p>
        </w:tc>
      </w:tr>
      <w:tr w14:paraId="6392A5A8">
        <w:tblPrEx>
          <w:tblCellMar>
            <w:top w:w="0" w:type="dxa"/>
            <w:left w:w="108" w:type="dxa"/>
            <w:bottom w:w="0" w:type="dxa"/>
            <w:right w:w="108" w:type="dxa"/>
          </w:tblCellMar>
        </w:tblPrEx>
        <w:trPr>
          <w:cantSplit/>
          <w:jc w:val="center"/>
        </w:trPr>
        <w:tc>
          <w:tcPr>
            <w:tcW w:w="4681" w:type="dxa"/>
            <w:shd w:val="clear" w:color="auto" w:fill="EAF4FA"/>
            <w:tcMar>
              <w:top w:w="130" w:type="dxa"/>
              <w:left w:w="150" w:type="dxa"/>
              <w:bottom w:w="130" w:type="dxa"/>
              <w:right w:w="150" w:type="dxa"/>
            </w:tcMar>
          </w:tcPr>
          <w:p w14:paraId="6FD8129A">
            <w:pPr>
              <w:jc w:val="center"/>
            </w:pPr>
            <w:r>
              <w:rPr>
                <w:rFonts w:ascii="微软雅黑" w:hAnsi="微软雅黑" w:eastAsia="微软雅黑"/>
                <w:b/>
                <w:color w:val="17324D"/>
                <w:sz w:val="22"/>
              </w:rPr>
              <w:t>编制日期</w:t>
            </w:r>
          </w:p>
        </w:tc>
        <w:tc>
          <w:tcPr>
            <w:tcW w:w="4681" w:type="dxa"/>
            <w:shd w:val="clear" w:color="auto" w:fill="FFFFFF"/>
            <w:tcMar>
              <w:top w:w="130" w:type="dxa"/>
              <w:left w:w="150" w:type="dxa"/>
              <w:bottom w:w="130" w:type="dxa"/>
              <w:right w:w="150" w:type="dxa"/>
            </w:tcMar>
          </w:tcPr>
          <w:p w14:paraId="2AA1BD1E">
            <w:pPr>
              <w:jc w:val="left"/>
            </w:pPr>
            <w:r>
              <w:rPr>
                <w:rFonts w:ascii="微软雅黑" w:hAnsi="微软雅黑" w:eastAsia="微软雅黑"/>
                <w:b w:val="0"/>
                <w:color w:val="243041"/>
                <w:sz w:val="22"/>
              </w:rPr>
              <w:t>2026年7月</w:t>
            </w:r>
          </w:p>
        </w:tc>
      </w:tr>
    </w:tbl>
    <w:p w14:paraId="173F87E4">
      <w:r>
        <w:br w:type="page"/>
      </w:r>
    </w:p>
    <w:p w14:paraId="6402A628">
      <w:pPr>
        <w:pStyle w:val="3"/>
        <w:keepNext/>
        <w:keepLines/>
      </w:pPr>
      <w:bookmarkStart w:id="0" w:name="_Toc9669"/>
      <w:r>
        <w:t>文档说明</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81"/>
      </w:tblGrid>
      <w:tr w14:paraId="14E7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100" w:type="dxa"/>
            <w:shd w:val="clear" w:color="auto" w:fill="17324D"/>
            <w:tcMar>
              <w:top w:w="90" w:type="dxa"/>
              <w:left w:w="90" w:type="dxa"/>
              <w:bottom w:w="90" w:type="dxa"/>
              <w:right w:w="90" w:type="dxa"/>
            </w:tcMar>
            <w:vAlign w:val="center"/>
          </w:tcPr>
          <w:p w14:paraId="6AC049F9">
            <w:pPr>
              <w:spacing w:after="0"/>
              <w:jc w:val="center"/>
            </w:pPr>
            <w:r>
              <w:rPr>
                <w:rFonts w:ascii="微软雅黑" w:hAnsi="微软雅黑" w:eastAsia="微软雅黑"/>
                <w:b/>
                <w:color w:val="FFFFFF"/>
                <w:sz w:val="19"/>
              </w:rPr>
              <w:t>项目</w:t>
            </w:r>
          </w:p>
        </w:tc>
        <w:tc>
          <w:tcPr>
            <w:tcW w:w="7260" w:type="dxa"/>
            <w:shd w:val="clear" w:color="auto" w:fill="17324D"/>
            <w:tcMar>
              <w:top w:w="90" w:type="dxa"/>
              <w:left w:w="90" w:type="dxa"/>
              <w:bottom w:w="90" w:type="dxa"/>
              <w:right w:w="90" w:type="dxa"/>
            </w:tcMar>
            <w:vAlign w:val="center"/>
          </w:tcPr>
          <w:p w14:paraId="69345D1C">
            <w:pPr>
              <w:spacing w:after="0"/>
              <w:jc w:val="center"/>
            </w:pPr>
            <w:r>
              <w:rPr>
                <w:rFonts w:ascii="微软雅黑" w:hAnsi="微软雅黑" w:eastAsia="微软雅黑"/>
                <w:b/>
                <w:color w:val="FFFFFF"/>
                <w:sz w:val="19"/>
              </w:rPr>
              <w:t>内容</w:t>
            </w:r>
          </w:p>
        </w:tc>
      </w:tr>
      <w:tr w14:paraId="2F92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90" w:type="dxa"/>
              <w:left w:w="90" w:type="dxa"/>
              <w:bottom w:w="90" w:type="dxa"/>
              <w:right w:w="90" w:type="dxa"/>
            </w:tcMar>
            <w:vAlign w:val="center"/>
          </w:tcPr>
          <w:p w14:paraId="30552799">
            <w:pPr>
              <w:spacing w:after="0" w:line="276" w:lineRule="auto"/>
            </w:pPr>
            <w:r>
              <w:rPr>
                <w:rFonts w:ascii="微软雅黑" w:hAnsi="微软雅黑" w:eastAsia="微软雅黑"/>
                <w:color w:val="243041"/>
                <w:sz w:val="19"/>
              </w:rPr>
              <w:t>软件全称</w:t>
            </w:r>
          </w:p>
        </w:tc>
        <w:tc>
          <w:tcPr>
            <w:tcW w:w="7260" w:type="dxa"/>
            <w:tcMar>
              <w:top w:w="90" w:type="dxa"/>
              <w:left w:w="90" w:type="dxa"/>
              <w:bottom w:w="90" w:type="dxa"/>
              <w:right w:w="90" w:type="dxa"/>
            </w:tcMar>
            <w:vAlign w:val="center"/>
          </w:tcPr>
          <w:p w14:paraId="1C2C2970">
            <w:pPr>
              <w:spacing w:after="0" w:line="276" w:lineRule="auto"/>
            </w:pPr>
            <w:r>
              <w:rPr>
                <w:rFonts w:ascii="微软雅黑" w:hAnsi="微软雅黑" w:eastAsia="微软雅黑"/>
                <w:color w:val="243041"/>
                <w:sz w:val="19"/>
              </w:rPr>
              <w:t>航空发动机装配排产仿真系统</w:t>
            </w:r>
          </w:p>
        </w:tc>
      </w:tr>
      <w:tr w14:paraId="4967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8FAFC"/>
            <w:tcMar>
              <w:top w:w="90" w:type="dxa"/>
              <w:left w:w="90" w:type="dxa"/>
              <w:bottom w:w="90" w:type="dxa"/>
              <w:right w:w="90" w:type="dxa"/>
            </w:tcMar>
            <w:vAlign w:val="center"/>
          </w:tcPr>
          <w:p w14:paraId="4E15E5BA">
            <w:pPr>
              <w:spacing w:after="0" w:line="276" w:lineRule="auto"/>
            </w:pPr>
            <w:r>
              <w:rPr>
                <w:rFonts w:ascii="微软雅黑" w:hAnsi="微软雅黑" w:eastAsia="微软雅黑"/>
                <w:color w:val="243041"/>
                <w:sz w:val="19"/>
              </w:rPr>
              <w:t>版本号</w:t>
            </w:r>
          </w:p>
        </w:tc>
        <w:tc>
          <w:tcPr>
            <w:tcW w:w="7260" w:type="dxa"/>
            <w:shd w:val="clear" w:color="auto" w:fill="F8FAFC"/>
            <w:tcMar>
              <w:top w:w="90" w:type="dxa"/>
              <w:left w:w="90" w:type="dxa"/>
              <w:bottom w:w="90" w:type="dxa"/>
              <w:right w:w="90" w:type="dxa"/>
            </w:tcMar>
            <w:vAlign w:val="center"/>
          </w:tcPr>
          <w:p w14:paraId="0AB06B15">
            <w:pPr>
              <w:spacing w:after="0" w:line="276" w:lineRule="auto"/>
            </w:pPr>
            <w:r>
              <w:rPr>
                <w:rFonts w:ascii="微软雅黑" w:hAnsi="微软雅黑" w:eastAsia="微软雅黑"/>
                <w:color w:val="243041"/>
                <w:sz w:val="19"/>
              </w:rPr>
              <w:t>V1.0</w:t>
            </w:r>
          </w:p>
        </w:tc>
      </w:tr>
      <w:tr w14:paraId="0454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90" w:type="dxa"/>
              <w:left w:w="90" w:type="dxa"/>
              <w:bottom w:w="90" w:type="dxa"/>
              <w:right w:w="90" w:type="dxa"/>
            </w:tcMar>
            <w:vAlign w:val="center"/>
          </w:tcPr>
          <w:p w14:paraId="4B4444F9">
            <w:pPr>
              <w:spacing w:after="0" w:line="276" w:lineRule="auto"/>
            </w:pPr>
            <w:r>
              <w:rPr>
                <w:rFonts w:ascii="微软雅黑" w:hAnsi="微软雅黑" w:eastAsia="微软雅黑"/>
                <w:color w:val="243041"/>
                <w:sz w:val="19"/>
              </w:rPr>
              <w:t>文档性质</w:t>
            </w:r>
          </w:p>
        </w:tc>
        <w:tc>
          <w:tcPr>
            <w:tcW w:w="7260" w:type="dxa"/>
            <w:tcMar>
              <w:top w:w="90" w:type="dxa"/>
              <w:left w:w="90" w:type="dxa"/>
              <w:bottom w:w="90" w:type="dxa"/>
              <w:right w:w="90" w:type="dxa"/>
            </w:tcMar>
            <w:vAlign w:val="center"/>
          </w:tcPr>
          <w:p w14:paraId="51DC9AB3">
            <w:pPr>
              <w:spacing w:after="0" w:line="276" w:lineRule="auto"/>
            </w:pPr>
            <w:r>
              <w:rPr>
                <w:rFonts w:ascii="微软雅黑" w:hAnsi="微软雅黑" w:eastAsia="微软雅黑"/>
                <w:color w:val="243041"/>
                <w:sz w:val="19"/>
              </w:rPr>
              <w:t>计算机软件著作权登记文档鉴别材料（软件说明书）</w:t>
            </w:r>
          </w:p>
        </w:tc>
      </w:tr>
      <w:tr w14:paraId="6A2E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shd w:val="clear" w:color="auto" w:fill="F8FAFC"/>
            <w:tcMar>
              <w:top w:w="90" w:type="dxa"/>
              <w:left w:w="90" w:type="dxa"/>
              <w:bottom w:w="90" w:type="dxa"/>
              <w:right w:w="90" w:type="dxa"/>
            </w:tcMar>
            <w:vAlign w:val="center"/>
          </w:tcPr>
          <w:p w14:paraId="1378E0E0">
            <w:pPr>
              <w:spacing w:after="0" w:line="276" w:lineRule="auto"/>
            </w:pPr>
            <w:r>
              <w:rPr>
                <w:rFonts w:ascii="微软雅黑" w:hAnsi="微软雅黑" w:eastAsia="微软雅黑"/>
                <w:color w:val="243041"/>
                <w:sz w:val="19"/>
              </w:rPr>
              <w:t>适用对象</w:t>
            </w:r>
          </w:p>
        </w:tc>
        <w:tc>
          <w:tcPr>
            <w:tcW w:w="7260" w:type="dxa"/>
            <w:shd w:val="clear" w:color="auto" w:fill="F8FAFC"/>
            <w:tcMar>
              <w:top w:w="90" w:type="dxa"/>
              <w:left w:w="90" w:type="dxa"/>
              <w:bottom w:w="90" w:type="dxa"/>
              <w:right w:w="90" w:type="dxa"/>
            </w:tcMar>
            <w:vAlign w:val="center"/>
          </w:tcPr>
          <w:p w14:paraId="6E894046">
            <w:pPr>
              <w:spacing w:after="0" w:line="276" w:lineRule="auto"/>
            </w:pPr>
            <w:r>
              <w:rPr>
                <w:rFonts w:ascii="微软雅黑" w:hAnsi="微软雅黑" w:eastAsia="微软雅黑"/>
                <w:color w:val="243041"/>
                <w:sz w:val="19"/>
              </w:rPr>
              <w:t>离散制造车间生产管理人员、工艺工程师、仿真分析人员和系统维护人员</w:t>
            </w:r>
          </w:p>
        </w:tc>
      </w:tr>
      <w:tr w14:paraId="7A1C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00" w:type="dxa"/>
            <w:tcMar>
              <w:top w:w="90" w:type="dxa"/>
              <w:left w:w="90" w:type="dxa"/>
              <w:bottom w:w="90" w:type="dxa"/>
              <w:right w:w="90" w:type="dxa"/>
            </w:tcMar>
            <w:vAlign w:val="center"/>
          </w:tcPr>
          <w:p w14:paraId="333364A3">
            <w:pPr>
              <w:spacing w:after="0" w:line="276" w:lineRule="auto"/>
            </w:pPr>
            <w:r>
              <w:rPr>
                <w:rFonts w:ascii="微软雅黑" w:hAnsi="微软雅黑" w:eastAsia="微软雅黑"/>
                <w:color w:val="243041"/>
                <w:sz w:val="19"/>
              </w:rPr>
              <w:t>本次补正重点</w:t>
            </w:r>
          </w:p>
        </w:tc>
        <w:tc>
          <w:tcPr>
            <w:tcW w:w="7260" w:type="dxa"/>
            <w:tcMar>
              <w:top w:w="90" w:type="dxa"/>
              <w:left w:w="90" w:type="dxa"/>
              <w:bottom w:w="90" w:type="dxa"/>
              <w:right w:w="90" w:type="dxa"/>
            </w:tcMar>
            <w:vAlign w:val="center"/>
          </w:tcPr>
          <w:p w14:paraId="44BD4329">
            <w:pPr>
              <w:spacing w:after="0" w:line="276" w:lineRule="auto"/>
            </w:pPr>
            <w:r>
              <w:rPr>
                <w:rFonts w:ascii="微软雅黑" w:hAnsi="微软雅黑" w:eastAsia="微软雅黑"/>
                <w:color w:val="243041"/>
                <w:sz w:val="19"/>
              </w:rPr>
              <w:t>补全五大核心功能模块；增加真实运行界面；展示从流程建模到结果导出的连贯操作；说明核心算法、接口及源程序对应关系</w:t>
            </w:r>
          </w:p>
        </w:tc>
      </w:tr>
    </w:tbl>
    <w:p w14:paraId="642871D1">
      <w:pPr>
        <w:spacing w:after="0"/>
      </w:pPr>
    </w:p>
    <w:p w14:paraId="1802DE54">
      <w:pPr>
        <w:pStyle w:val="4"/>
        <w:keepNext/>
        <w:keepLines/>
      </w:pPr>
      <w:bookmarkStart w:id="1" w:name="_Toc32419"/>
      <w:r>
        <w:t>修订记录</w:t>
      </w:r>
      <w:bookmarkEnd w:id="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7DF1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21" w:type="dxa"/>
            <w:shd w:val="clear" w:color="auto" w:fill="17324D"/>
            <w:tcMar>
              <w:top w:w="90" w:type="dxa"/>
              <w:left w:w="90" w:type="dxa"/>
              <w:bottom w:w="90" w:type="dxa"/>
              <w:right w:w="90" w:type="dxa"/>
            </w:tcMar>
            <w:vAlign w:val="center"/>
          </w:tcPr>
          <w:p w14:paraId="7676928E">
            <w:pPr>
              <w:spacing w:after="0"/>
              <w:jc w:val="center"/>
            </w:pPr>
            <w:r>
              <w:rPr>
                <w:rFonts w:ascii="微软雅黑" w:hAnsi="微软雅黑" w:eastAsia="微软雅黑"/>
                <w:b/>
                <w:color w:val="FFFFFF"/>
                <w:sz w:val="18"/>
              </w:rPr>
              <w:t>文档版本</w:t>
            </w:r>
          </w:p>
        </w:tc>
        <w:tc>
          <w:tcPr>
            <w:tcW w:w="3121" w:type="dxa"/>
            <w:shd w:val="clear" w:color="auto" w:fill="17324D"/>
            <w:tcMar>
              <w:top w:w="90" w:type="dxa"/>
              <w:left w:w="90" w:type="dxa"/>
              <w:bottom w:w="90" w:type="dxa"/>
              <w:right w:w="90" w:type="dxa"/>
            </w:tcMar>
            <w:vAlign w:val="center"/>
          </w:tcPr>
          <w:p w14:paraId="2F0765C9">
            <w:pPr>
              <w:spacing w:after="0"/>
              <w:jc w:val="center"/>
            </w:pPr>
            <w:r>
              <w:rPr>
                <w:rFonts w:ascii="微软雅黑" w:hAnsi="微软雅黑" w:eastAsia="微软雅黑"/>
                <w:b/>
                <w:color w:val="FFFFFF"/>
                <w:sz w:val="18"/>
              </w:rPr>
              <w:t>日期</w:t>
            </w:r>
          </w:p>
        </w:tc>
        <w:tc>
          <w:tcPr>
            <w:tcW w:w="3121" w:type="dxa"/>
            <w:shd w:val="clear" w:color="auto" w:fill="17324D"/>
            <w:tcMar>
              <w:top w:w="90" w:type="dxa"/>
              <w:left w:w="90" w:type="dxa"/>
              <w:bottom w:w="90" w:type="dxa"/>
              <w:right w:w="90" w:type="dxa"/>
            </w:tcMar>
            <w:vAlign w:val="center"/>
          </w:tcPr>
          <w:p w14:paraId="4522727F">
            <w:pPr>
              <w:spacing w:after="0"/>
              <w:jc w:val="center"/>
            </w:pPr>
            <w:r>
              <w:rPr>
                <w:rFonts w:ascii="微软雅黑" w:hAnsi="微软雅黑" w:eastAsia="微软雅黑"/>
                <w:b/>
                <w:color w:val="FFFFFF"/>
                <w:sz w:val="18"/>
              </w:rPr>
              <w:t>修订内容</w:t>
            </w:r>
          </w:p>
        </w:tc>
      </w:tr>
      <w:tr w14:paraId="688B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1" w:type="dxa"/>
            <w:shd w:val="clear" w:color="auto" w:fill="F8FAFC"/>
            <w:tcMar>
              <w:top w:w="90" w:type="dxa"/>
              <w:left w:w="90" w:type="dxa"/>
              <w:bottom w:w="90" w:type="dxa"/>
              <w:right w:w="90" w:type="dxa"/>
            </w:tcMar>
            <w:vAlign w:val="center"/>
          </w:tcPr>
          <w:p w14:paraId="0054F391">
            <w:pPr>
              <w:spacing w:after="0" w:line="276" w:lineRule="auto"/>
              <w:rPr>
                <w:rFonts w:hint="eastAsia" w:eastAsia="微软雅黑"/>
                <w:lang w:val="en-US" w:eastAsia="zh-CN"/>
              </w:rPr>
            </w:pPr>
            <w:r>
              <w:rPr>
                <w:rFonts w:ascii="微软雅黑" w:hAnsi="微软雅黑" w:eastAsia="微软雅黑"/>
                <w:color w:val="243041"/>
                <w:sz w:val="18"/>
              </w:rPr>
              <w:t>V1.</w:t>
            </w:r>
            <w:r>
              <w:rPr>
                <w:rFonts w:hint="eastAsia"/>
                <w:color w:val="243041"/>
                <w:sz w:val="18"/>
                <w:lang w:val="en-US" w:eastAsia="zh-CN"/>
              </w:rPr>
              <w:t>0</w:t>
            </w:r>
          </w:p>
        </w:tc>
        <w:tc>
          <w:tcPr>
            <w:tcW w:w="3121" w:type="dxa"/>
            <w:shd w:val="clear" w:color="auto" w:fill="F8FAFC"/>
            <w:tcMar>
              <w:top w:w="90" w:type="dxa"/>
              <w:left w:w="90" w:type="dxa"/>
              <w:bottom w:w="90" w:type="dxa"/>
              <w:right w:w="90" w:type="dxa"/>
            </w:tcMar>
            <w:vAlign w:val="center"/>
          </w:tcPr>
          <w:p w14:paraId="3C84BB1E">
            <w:pPr>
              <w:spacing w:after="0" w:line="276" w:lineRule="auto"/>
            </w:pPr>
            <w:r>
              <w:rPr>
                <w:rFonts w:ascii="微软雅黑" w:hAnsi="微软雅黑" w:eastAsia="微软雅黑"/>
                <w:color w:val="243041"/>
                <w:sz w:val="18"/>
              </w:rPr>
              <w:t>2026年7月</w:t>
            </w:r>
          </w:p>
        </w:tc>
        <w:tc>
          <w:tcPr>
            <w:tcW w:w="3121" w:type="dxa"/>
            <w:shd w:val="clear" w:color="auto" w:fill="F8FAFC"/>
            <w:tcMar>
              <w:top w:w="90" w:type="dxa"/>
              <w:left w:w="90" w:type="dxa"/>
              <w:bottom w:w="90" w:type="dxa"/>
              <w:right w:w="90" w:type="dxa"/>
            </w:tcMar>
            <w:vAlign w:val="center"/>
          </w:tcPr>
          <w:p w14:paraId="0463F185">
            <w:pPr>
              <w:spacing w:after="0" w:line="276" w:lineRule="auto"/>
            </w:pPr>
            <w:r>
              <w:rPr>
                <w:rFonts w:ascii="微软雅黑" w:hAnsi="微软雅黑" w:eastAsia="微软雅黑"/>
                <w:color w:val="243041"/>
                <w:sz w:val="18"/>
              </w:rPr>
              <w:t>依据补正通知扩展全部功能说明，加入真实运行截图、完整操作流程、输入输出、算法和源程序映射</w:t>
            </w:r>
          </w:p>
        </w:tc>
      </w:tr>
    </w:tbl>
    <w:p w14:paraId="026A326B">
      <w:pPr>
        <w:spacing w:after="0"/>
      </w:pPr>
    </w:p>
    <w:tbl>
      <w:tblPr>
        <w:tblStyle w:val="34"/>
        <w:tblW w:w="0" w:type="auto"/>
        <w:jc w:val="center"/>
        <w:tblLayout w:type="fixed"/>
        <w:tblCellMar>
          <w:top w:w="0" w:type="dxa"/>
          <w:left w:w="108" w:type="dxa"/>
          <w:bottom w:w="0" w:type="dxa"/>
          <w:right w:w="108" w:type="dxa"/>
        </w:tblCellMar>
      </w:tblPr>
      <w:tblGrid>
        <w:gridCol w:w="4681"/>
        <w:gridCol w:w="4681"/>
      </w:tblGrid>
      <w:tr w14:paraId="17BB25BF">
        <w:tblPrEx>
          <w:tblCellMar>
            <w:top w:w="0" w:type="dxa"/>
            <w:left w:w="108" w:type="dxa"/>
            <w:bottom w:w="0" w:type="dxa"/>
            <w:right w:w="108" w:type="dxa"/>
          </w:tblCellMar>
        </w:tblPrEx>
        <w:trPr>
          <w:jc w:val="center"/>
        </w:trPr>
        <w:tc>
          <w:tcPr>
            <w:tcW w:w="130" w:type="dxa"/>
            <w:shd w:val="clear" w:color="auto" w:fill="16A3B6"/>
            <w:tcMar>
              <w:top w:w="0" w:type="dxa"/>
              <w:left w:w="0" w:type="dxa"/>
              <w:bottom w:w="0" w:type="dxa"/>
              <w:right w:w="0" w:type="dxa"/>
            </w:tcMar>
          </w:tcPr>
          <w:p w14:paraId="10C2222F"/>
        </w:tc>
        <w:tc>
          <w:tcPr>
            <w:tcW w:w="9230" w:type="dxa"/>
            <w:shd w:val="clear" w:color="auto" w:fill="EAF4FA"/>
            <w:tcMar>
              <w:top w:w="120" w:type="dxa"/>
              <w:left w:w="180" w:type="dxa"/>
              <w:bottom w:w="120" w:type="dxa"/>
              <w:right w:w="180" w:type="dxa"/>
            </w:tcMar>
          </w:tcPr>
          <w:p w14:paraId="03828455">
            <w:pPr>
              <w:spacing w:after="0"/>
            </w:pPr>
            <w:r>
              <w:rPr>
                <w:rFonts w:ascii="微软雅黑" w:hAnsi="微软雅黑" w:eastAsia="微软雅黑"/>
                <w:b/>
                <w:color w:val="17324D"/>
                <w:sz w:val="21"/>
              </w:rPr>
              <w:t xml:space="preserve">一致性声明  </w:t>
            </w:r>
            <w:r>
              <w:rPr>
                <w:rFonts w:ascii="微软雅黑" w:hAnsi="微软雅黑" w:eastAsia="微软雅黑"/>
                <w:color w:val="243041"/>
                <w:sz w:val="21"/>
              </w:rPr>
              <w:t>本说明书中的软件名称统一为“航空发动机装配排产仿真系统”，版本号统一为“V1.0”，与申请信息参考及源程序鉴别材料保持一致。</w:t>
            </w:r>
          </w:p>
        </w:tc>
      </w:tr>
    </w:tbl>
    <w:p w14:paraId="7A848CCE">
      <w:pPr>
        <w:pStyle w:val="3"/>
        <w:keepNext/>
        <w:keepLines/>
      </w:pPr>
      <w:bookmarkStart w:id="2" w:name="_Toc30955"/>
      <w:r>
        <w:t>目录</w:t>
      </w:r>
      <w:bookmarkEnd w:id="2"/>
    </w:p>
    <w:p w14:paraId="0329816C">
      <w:pPr>
        <w:pStyle w:val="26"/>
        <w:tabs>
          <w:tab w:val="right" w:leader="dot" w:pos="9362"/>
        </w:tabs>
      </w:pPr>
      <w:r>
        <w:fldChar w:fldCharType="begin"/>
      </w:r>
      <w:r>
        <w:instrText xml:space="preserve">TOC \o "1-3" \h \z \u</w:instrText>
      </w:r>
      <w:r>
        <w:fldChar w:fldCharType="separate"/>
      </w:r>
      <w:r>
        <w:fldChar w:fldCharType="begin"/>
      </w:r>
      <w:r>
        <w:instrText xml:space="preserve"> HYPERLINK \l _Toc9669 </w:instrText>
      </w:r>
      <w:r>
        <w:fldChar w:fldCharType="separate"/>
      </w:r>
      <w:r>
        <w:t>文档说明</w:t>
      </w:r>
      <w:r>
        <w:tab/>
      </w:r>
      <w:r>
        <w:fldChar w:fldCharType="begin"/>
      </w:r>
      <w:r>
        <w:instrText xml:space="preserve"> PAGEREF _Toc9669 \h </w:instrText>
      </w:r>
      <w:r>
        <w:fldChar w:fldCharType="separate"/>
      </w:r>
      <w:r>
        <w:t>2</w:t>
      </w:r>
      <w:r>
        <w:fldChar w:fldCharType="end"/>
      </w:r>
      <w:r>
        <w:fldChar w:fldCharType="end"/>
      </w:r>
    </w:p>
    <w:p w14:paraId="0AFF249D">
      <w:pPr>
        <w:pStyle w:val="29"/>
        <w:tabs>
          <w:tab w:val="right" w:leader="dot" w:pos="9362"/>
        </w:tabs>
      </w:pPr>
      <w:r>
        <w:fldChar w:fldCharType="begin"/>
      </w:r>
      <w:r>
        <w:instrText xml:space="preserve"> HYPERLINK \l _Toc32419 </w:instrText>
      </w:r>
      <w:r>
        <w:fldChar w:fldCharType="separate"/>
      </w:r>
      <w:r>
        <w:t>修订记录</w:t>
      </w:r>
      <w:r>
        <w:tab/>
      </w:r>
      <w:r>
        <w:fldChar w:fldCharType="begin"/>
      </w:r>
      <w:r>
        <w:instrText xml:space="preserve"> PAGEREF _Toc32419 \h </w:instrText>
      </w:r>
      <w:r>
        <w:fldChar w:fldCharType="separate"/>
      </w:r>
      <w:r>
        <w:t>2</w:t>
      </w:r>
      <w:r>
        <w:fldChar w:fldCharType="end"/>
      </w:r>
      <w:r>
        <w:fldChar w:fldCharType="end"/>
      </w:r>
    </w:p>
    <w:p w14:paraId="6684EAB0">
      <w:pPr>
        <w:pStyle w:val="26"/>
        <w:tabs>
          <w:tab w:val="right" w:leader="dot" w:pos="9362"/>
        </w:tabs>
      </w:pPr>
      <w:r>
        <w:fldChar w:fldCharType="begin"/>
      </w:r>
      <w:r>
        <w:instrText xml:space="preserve"> HYPERLINK \l _Toc30955 </w:instrText>
      </w:r>
      <w:r>
        <w:fldChar w:fldCharType="separate"/>
      </w:r>
      <w:r>
        <w:t>目录</w:t>
      </w:r>
      <w:r>
        <w:tab/>
      </w:r>
      <w:r>
        <w:fldChar w:fldCharType="begin"/>
      </w:r>
      <w:r>
        <w:instrText xml:space="preserve"> PAGEREF _Toc30955 \h </w:instrText>
      </w:r>
      <w:r>
        <w:fldChar w:fldCharType="separate"/>
      </w:r>
      <w:r>
        <w:t>3</w:t>
      </w:r>
      <w:r>
        <w:fldChar w:fldCharType="end"/>
      </w:r>
      <w:r>
        <w:fldChar w:fldCharType="end"/>
      </w:r>
    </w:p>
    <w:p w14:paraId="7FBF7ED6">
      <w:pPr>
        <w:pStyle w:val="26"/>
        <w:tabs>
          <w:tab w:val="right" w:leader="dot" w:pos="9362"/>
        </w:tabs>
      </w:pPr>
      <w:r>
        <w:fldChar w:fldCharType="begin"/>
      </w:r>
      <w:r>
        <w:instrText xml:space="preserve"> HYPERLINK \l _Toc20254 </w:instrText>
      </w:r>
      <w:r>
        <w:fldChar w:fldCharType="separate"/>
      </w:r>
      <w:r>
        <w:t>1 软件概述</w:t>
      </w:r>
      <w:r>
        <w:tab/>
      </w:r>
      <w:r>
        <w:fldChar w:fldCharType="begin"/>
      </w:r>
      <w:r>
        <w:instrText xml:space="preserve"> PAGEREF _Toc20254 \h </w:instrText>
      </w:r>
      <w:r>
        <w:fldChar w:fldCharType="separate"/>
      </w:r>
      <w:r>
        <w:t>6</w:t>
      </w:r>
      <w:r>
        <w:fldChar w:fldCharType="end"/>
      </w:r>
      <w:r>
        <w:fldChar w:fldCharType="end"/>
      </w:r>
    </w:p>
    <w:p w14:paraId="758062B5">
      <w:pPr>
        <w:pStyle w:val="29"/>
        <w:tabs>
          <w:tab w:val="right" w:leader="dot" w:pos="9362"/>
        </w:tabs>
      </w:pPr>
      <w:r>
        <w:fldChar w:fldCharType="begin"/>
      </w:r>
      <w:r>
        <w:instrText xml:space="preserve"> HYPERLINK \l _Toc16976 </w:instrText>
      </w:r>
      <w:r>
        <w:fldChar w:fldCharType="separate"/>
      </w:r>
      <w:r>
        <w:t>1.1 软件定位</w:t>
      </w:r>
      <w:r>
        <w:tab/>
      </w:r>
      <w:r>
        <w:fldChar w:fldCharType="begin"/>
      </w:r>
      <w:r>
        <w:instrText xml:space="preserve"> PAGEREF _Toc16976 \h </w:instrText>
      </w:r>
      <w:r>
        <w:fldChar w:fldCharType="separate"/>
      </w:r>
      <w:r>
        <w:t>6</w:t>
      </w:r>
      <w:r>
        <w:fldChar w:fldCharType="end"/>
      </w:r>
      <w:r>
        <w:fldChar w:fldCharType="end"/>
      </w:r>
    </w:p>
    <w:p w14:paraId="173949EB">
      <w:pPr>
        <w:pStyle w:val="29"/>
        <w:tabs>
          <w:tab w:val="right" w:leader="dot" w:pos="9362"/>
        </w:tabs>
      </w:pPr>
      <w:r>
        <w:fldChar w:fldCharType="begin"/>
      </w:r>
      <w:r>
        <w:instrText xml:space="preserve"> HYPERLINK \l _Toc30859 </w:instrText>
      </w:r>
      <w:r>
        <w:fldChar w:fldCharType="separate"/>
      </w:r>
      <w:r>
        <w:t>1.2 五大核心功能模块</w:t>
      </w:r>
      <w:r>
        <w:tab/>
      </w:r>
      <w:r>
        <w:fldChar w:fldCharType="begin"/>
      </w:r>
      <w:r>
        <w:instrText xml:space="preserve"> PAGEREF _Toc30859 \h </w:instrText>
      </w:r>
      <w:r>
        <w:fldChar w:fldCharType="separate"/>
      </w:r>
      <w:r>
        <w:t>6</w:t>
      </w:r>
      <w:r>
        <w:fldChar w:fldCharType="end"/>
      </w:r>
      <w:r>
        <w:fldChar w:fldCharType="end"/>
      </w:r>
    </w:p>
    <w:p w14:paraId="742EC2FE">
      <w:pPr>
        <w:pStyle w:val="29"/>
        <w:tabs>
          <w:tab w:val="right" w:leader="dot" w:pos="9362"/>
        </w:tabs>
      </w:pPr>
      <w:r>
        <w:fldChar w:fldCharType="begin"/>
      </w:r>
      <w:r>
        <w:instrText xml:space="preserve"> HYPERLINK \l _Toc4824 </w:instrText>
      </w:r>
      <w:r>
        <w:fldChar w:fldCharType="separate"/>
      </w:r>
      <w:r>
        <w:t>1.3 典型应用场景</w:t>
      </w:r>
      <w:r>
        <w:tab/>
      </w:r>
      <w:r>
        <w:fldChar w:fldCharType="begin"/>
      </w:r>
      <w:r>
        <w:instrText xml:space="preserve"> PAGEREF _Toc4824 \h </w:instrText>
      </w:r>
      <w:r>
        <w:fldChar w:fldCharType="separate"/>
      </w:r>
      <w:r>
        <w:t>7</w:t>
      </w:r>
      <w:r>
        <w:fldChar w:fldCharType="end"/>
      </w:r>
      <w:r>
        <w:fldChar w:fldCharType="end"/>
      </w:r>
    </w:p>
    <w:p w14:paraId="79766AD3">
      <w:pPr>
        <w:pStyle w:val="26"/>
        <w:tabs>
          <w:tab w:val="right" w:leader="dot" w:pos="9362"/>
        </w:tabs>
      </w:pPr>
      <w:r>
        <w:fldChar w:fldCharType="begin"/>
      </w:r>
      <w:r>
        <w:instrText xml:space="preserve"> HYPERLINK \l _Toc1957 </w:instrText>
      </w:r>
      <w:r>
        <w:fldChar w:fldCharType="separate"/>
      </w:r>
      <w:r>
        <w:t>2 运行环境与系统启动</w:t>
      </w:r>
      <w:r>
        <w:tab/>
      </w:r>
      <w:r>
        <w:fldChar w:fldCharType="begin"/>
      </w:r>
      <w:r>
        <w:instrText xml:space="preserve"> PAGEREF _Toc1957 \h </w:instrText>
      </w:r>
      <w:r>
        <w:fldChar w:fldCharType="separate"/>
      </w:r>
      <w:r>
        <w:t>8</w:t>
      </w:r>
      <w:r>
        <w:fldChar w:fldCharType="end"/>
      </w:r>
      <w:r>
        <w:fldChar w:fldCharType="end"/>
      </w:r>
    </w:p>
    <w:p w14:paraId="0A00E028">
      <w:pPr>
        <w:pStyle w:val="29"/>
        <w:tabs>
          <w:tab w:val="right" w:leader="dot" w:pos="9362"/>
        </w:tabs>
      </w:pPr>
      <w:r>
        <w:fldChar w:fldCharType="begin"/>
      </w:r>
      <w:r>
        <w:instrText xml:space="preserve"> HYPERLINK \l _Toc11794 </w:instrText>
      </w:r>
      <w:r>
        <w:fldChar w:fldCharType="separate"/>
      </w:r>
      <w:r>
        <w:t>2.1 运行环境</w:t>
      </w:r>
      <w:r>
        <w:tab/>
      </w:r>
      <w:r>
        <w:fldChar w:fldCharType="begin"/>
      </w:r>
      <w:r>
        <w:instrText xml:space="preserve"> PAGEREF _Toc11794 \h </w:instrText>
      </w:r>
      <w:r>
        <w:fldChar w:fldCharType="separate"/>
      </w:r>
      <w:r>
        <w:t>8</w:t>
      </w:r>
      <w:r>
        <w:fldChar w:fldCharType="end"/>
      </w:r>
      <w:r>
        <w:fldChar w:fldCharType="end"/>
      </w:r>
    </w:p>
    <w:p w14:paraId="0A3AE55B">
      <w:pPr>
        <w:pStyle w:val="29"/>
        <w:tabs>
          <w:tab w:val="right" w:leader="dot" w:pos="9362"/>
        </w:tabs>
      </w:pPr>
      <w:r>
        <w:fldChar w:fldCharType="begin"/>
      </w:r>
      <w:r>
        <w:instrText xml:space="preserve"> HYPERLINK \l _Toc31865 </w:instrText>
      </w:r>
      <w:r>
        <w:fldChar w:fldCharType="separate"/>
      </w:r>
      <w:r>
        <w:t>2.2 启动步骤</w:t>
      </w:r>
      <w:r>
        <w:tab/>
      </w:r>
      <w:r>
        <w:fldChar w:fldCharType="begin"/>
      </w:r>
      <w:r>
        <w:instrText xml:space="preserve"> PAGEREF _Toc31865 \h </w:instrText>
      </w:r>
      <w:r>
        <w:fldChar w:fldCharType="separate"/>
      </w:r>
      <w:r>
        <w:t>8</w:t>
      </w:r>
      <w:r>
        <w:fldChar w:fldCharType="end"/>
      </w:r>
      <w:r>
        <w:fldChar w:fldCharType="end"/>
      </w:r>
    </w:p>
    <w:p w14:paraId="4D8A9D23">
      <w:pPr>
        <w:pStyle w:val="26"/>
        <w:tabs>
          <w:tab w:val="right" w:leader="dot" w:pos="9362"/>
        </w:tabs>
      </w:pPr>
      <w:r>
        <w:fldChar w:fldCharType="begin"/>
      </w:r>
      <w:r>
        <w:instrText xml:space="preserve"> HYPERLINK \l _Toc7086 </w:instrText>
      </w:r>
      <w:r>
        <w:fldChar w:fldCharType="separate"/>
      </w:r>
      <w:r>
        <w:t>3 软件完整使用流程</w:t>
      </w:r>
      <w:r>
        <w:tab/>
      </w:r>
      <w:r>
        <w:fldChar w:fldCharType="begin"/>
      </w:r>
      <w:r>
        <w:instrText xml:space="preserve"> PAGEREF _Toc7086 \h </w:instrText>
      </w:r>
      <w:r>
        <w:fldChar w:fldCharType="separate"/>
      </w:r>
      <w:r>
        <w:t>10</w:t>
      </w:r>
      <w:r>
        <w:fldChar w:fldCharType="end"/>
      </w:r>
      <w:r>
        <w:fldChar w:fldCharType="end"/>
      </w:r>
    </w:p>
    <w:p w14:paraId="6169B26F">
      <w:pPr>
        <w:pStyle w:val="29"/>
        <w:tabs>
          <w:tab w:val="right" w:leader="dot" w:pos="9362"/>
        </w:tabs>
      </w:pPr>
      <w:r>
        <w:fldChar w:fldCharType="begin"/>
      </w:r>
      <w:r>
        <w:instrText xml:space="preserve"> HYPERLINK \l _Toc28803 </w:instrText>
      </w:r>
      <w:r>
        <w:fldChar w:fldCharType="separate"/>
      </w:r>
      <w:r>
        <w:t>3.1 端到端业务流程</w:t>
      </w:r>
      <w:r>
        <w:tab/>
      </w:r>
      <w:r>
        <w:fldChar w:fldCharType="begin"/>
      </w:r>
      <w:r>
        <w:instrText xml:space="preserve"> PAGEREF _Toc28803 \h </w:instrText>
      </w:r>
      <w:r>
        <w:fldChar w:fldCharType="separate"/>
      </w:r>
      <w:r>
        <w:t>10</w:t>
      </w:r>
      <w:r>
        <w:fldChar w:fldCharType="end"/>
      </w:r>
      <w:r>
        <w:fldChar w:fldCharType="end"/>
      </w:r>
    </w:p>
    <w:p w14:paraId="7897E5CD">
      <w:pPr>
        <w:pStyle w:val="29"/>
        <w:tabs>
          <w:tab w:val="right" w:leader="dot" w:pos="9362"/>
        </w:tabs>
      </w:pPr>
      <w:r>
        <w:fldChar w:fldCharType="begin"/>
      </w:r>
      <w:r>
        <w:instrText xml:space="preserve"> HYPERLINK \l _Toc9619 </w:instrText>
      </w:r>
      <w:r>
        <w:fldChar w:fldCharType="separate"/>
      </w:r>
      <w:r>
        <w:t>3.2 页面导航和状态流转</w:t>
      </w:r>
      <w:r>
        <w:tab/>
      </w:r>
      <w:r>
        <w:fldChar w:fldCharType="begin"/>
      </w:r>
      <w:r>
        <w:instrText xml:space="preserve"> PAGEREF _Toc9619 \h </w:instrText>
      </w:r>
      <w:r>
        <w:fldChar w:fldCharType="separate"/>
      </w:r>
      <w:r>
        <w:t>10</w:t>
      </w:r>
      <w:r>
        <w:fldChar w:fldCharType="end"/>
      </w:r>
      <w:r>
        <w:fldChar w:fldCharType="end"/>
      </w:r>
    </w:p>
    <w:p w14:paraId="53D0DF8A">
      <w:pPr>
        <w:pStyle w:val="26"/>
        <w:tabs>
          <w:tab w:val="right" w:leader="dot" w:pos="9362"/>
        </w:tabs>
      </w:pPr>
      <w:r>
        <w:fldChar w:fldCharType="begin"/>
      </w:r>
      <w:r>
        <w:instrText xml:space="preserve"> HYPERLINK \l _Toc19176 </w:instrText>
      </w:r>
      <w:r>
        <w:fldChar w:fldCharType="separate"/>
      </w:r>
      <w:r>
        <w:t>4 可视化流程编辑器</w:t>
      </w:r>
      <w:r>
        <w:tab/>
      </w:r>
      <w:r>
        <w:fldChar w:fldCharType="begin"/>
      </w:r>
      <w:r>
        <w:instrText xml:space="preserve"> PAGEREF _Toc19176 \h </w:instrText>
      </w:r>
      <w:r>
        <w:fldChar w:fldCharType="separate"/>
      </w:r>
      <w:r>
        <w:t>11</w:t>
      </w:r>
      <w:r>
        <w:fldChar w:fldCharType="end"/>
      </w:r>
      <w:r>
        <w:fldChar w:fldCharType="end"/>
      </w:r>
    </w:p>
    <w:p w14:paraId="67536BA1">
      <w:pPr>
        <w:pStyle w:val="29"/>
        <w:tabs>
          <w:tab w:val="right" w:leader="dot" w:pos="9362"/>
        </w:tabs>
      </w:pPr>
      <w:r>
        <w:fldChar w:fldCharType="begin"/>
      </w:r>
      <w:r>
        <w:instrText xml:space="preserve"> HYPERLINK \l _Toc12232 </w:instrText>
      </w:r>
      <w:r>
        <w:fldChar w:fldCharType="separate"/>
      </w:r>
      <w:r>
        <w:t>4.1 节点类型与工具箱</w:t>
      </w:r>
      <w:r>
        <w:tab/>
      </w:r>
      <w:r>
        <w:fldChar w:fldCharType="begin"/>
      </w:r>
      <w:r>
        <w:instrText xml:space="preserve"> PAGEREF _Toc12232 \h </w:instrText>
      </w:r>
      <w:r>
        <w:fldChar w:fldCharType="separate"/>
      </w:r>
      <w:r>
        <w:t>11</w:t>
      </w:r>
      <w:r>
        <w:fldChar w:fldCharType="end"/>
      </w:r>
      <w:r>
        <w:fldChar w:fldCharType="end"/>
      </w:r>
    </w:p>
    <w:p w14:paraId="611DDF8A">
      <w:pPr>
        <w:pStyle w:val="29"/>
        <w:tabs>
          <w:tab w:val="right" w:leader="dot" w:pos="9362"/>
        </w:tabs>
      </w:pPr>
      <w:r>
        <w:fldChar w:fldCharType="begin"/>
      </w:r>
      <w:r>
        <w:instrText xml:space="preserve"> HYPERLINK \l _Toc23358 </w:instrText>
      </w:r>
      <w:r>
        <w:fldChar w:fldCharType="separate"/>
      </w:r>
      <w:r>
        <w:t>4.2 新建、选择和删除节点</w:t>
      </w:r>
      <w:r>
        <w:tab/>
      </w:r>
      <w:r>
        <w:fldChar w:fldCharType="begin"/>
      </w:r>
      <w:r>
        <w:instrText xml:space="preserve"> PAGEREF _Toc23358 \h </w:instrText>
      </w:r>
      <w:r>
        <w:fldChar w:fldCharType="separate"/>
      </w:r>
      <w:r>
        <w:t>11</w:t>
      </w:r>
      <w:r>
        <w:fldChar w:fldCharType="end"/>
      </w:r>
      <w:r>
        <w:fldChar w:fldCharType="end"/>
      </w:r>
    </w:p>
    <w:p w14:paraId="656106AA">
      <w:pPr>
        <w:pStyle w:val="29"/>
        <w:tabs>
          <w:tab w:val="right" w:leader="dot" w:pos="9362"/>
        </w:tabs>
      </w:pPr>
      <w:r>
        <w:fldChar w:fldCharType="begin"/>
      </w:r>
      <w:r>
        <w:instrText xml:space="preserve"> HYPERLINK \l _Toc142 </w:instrText>
      </w:r>
      <w:r>
        <w:fldChar w:fldCharType="separate"/>
      </w:r>
      <w:r>
        <w:t>4.3 建立工艺先后约束</w:t>
      </w:r>
      <w:r>
        <w:tab/>
      </w:r>
      <w:r>
        <w:fldChar w:fldCharType="begin"/>
      </w:r>
      <w:r>
        <w:instrText xml:space="preserve"> PAGEREF _Toc142 \h </w:instrText>
      </w:r>
      <w:r>
        <w:fldChar w:fldCharType="separate"/>
      </w:r>
      <w:r>
        <w:t>11</w:t>
      </w:r>
      <w:r>
        <w:fldChar w:fldCharType="end"/>
      </w:r>
      <w:r>
        <w:fldChar w:fldCharType="end"/>
      </w:r>
    </w:p>
    <w:p w14:paraId="422D5593">
      <w:pPr>
        <w:pStyle w:val="29"/>
        <w:tabs>
          <w:tab w:val="right" w:leader="dot" w:pos="9362"/>
        </w:tabs>
      </w:pPr>
      <w:r>
        <w:fldChar w:fldCharType="begin"/>
      </w:r>
      <w:r>
        <w:instrText xml:space="preserve"> HYPERLINK \l _Toc14263 </w:instrText>
      </w:r>
      <w:r>
        <w:fldChar w:fldCharType="separate"/>
      </w:r>
      <w:r>
        <w:t>4.4 节点属性编辑</w:t>
      </w:r>
      <w:r>
        <w:tab/>
      </w:r>
      <w:r>
        <w:fldChar w:fldCharType="begin"/>
      </w:r>
      <w:r>
        <w:instrText xml:space="preserve"> PAGEREF _Toc14263 \h </w:instrText>
      </w:r>
      <w:r>
        <w:fldChar w:fldCharType="separate"/>
      </w:r>
      <w:r>
        <w:t>11</w:t>
      </w:r>
      <w:r>
        <w:fldChar w:fldCharType="end"/>
      </w:r>
      <w:r>
        <w:fldChar w:fldCharType="end"/>
      </w:r>
    </w:p>
    <w:p w14:paraId="5E0FE4FF">
      <w:pPr>
        <w:pStyle w:val="29"/>
        <w:tabs>
          <w:tab w:val="right" w:leader="dot" w:pos="9362"/>
        </w:tabs>
      </w:pPr>
      <w:r>
        <w:fldChar w:fldCharType="begin"/>
      </w:r>
      <w:r>
        <w:instrText xml:space="preserve"> HYPERLINK \l _Toc604 </w:instrText>
      </w:r>
      <w:r>
        <w:fldChar w:fldCharType="separate"/>
      </w:r>
      <w:r>
        <w:t>4.5 自动布局、工位视图和筛选</w:t>
      </w:r>
      <w:r>
        <w:tab/>
      </w:r>
      <w:r>
        <w:fldChar w:fldCharType="begin"/>
      </w:r>
      <w:r>
        <w:instrText xml:space="preserve"> PAGEREF _Toc604 \h </w:instrText>
      </w:r>
      <w:r>
        <w:fldChar w:fldCharType="separate"/>
      </w:r>
      <w:r>
        <w:t>12</w:t>
      </w:r>
      <w:r>
        <w:fldChar w:fldCharType="end"/>
      </w:r>
      <w:r>
        <w:fldChar w:fldCharType="end"/>
      </w:r>
    </w:p>
    <w:p w14:paraId="672E70F5">
      <w:pPr>
        <w:pStyle w:val="29"/>
        <w:tabs>
          <w:tab w:val="right" w:leader="dot" w:pos="9362"/>
        </w:tabs>
      </w:pPr>
      <w:r>
        <w:fldChar w:fldCharType="begin"/>
      </w:r>
      <w:r>
        <w:instrText xml:space="preserve"> HYPERLINK \l _Toc25022 </w:instrText>
      </w:r>
      <w:r>
        <w:fldChar w:fldCharType="separate"/>
      </w:r>
      <w:r>
        <w:t>4.6 CSV 导入与导出</w:t>
      </w:r>
      <w:r>
        <w:tab/>
      </w:r>
      <w:r>
        <w:fldChar w:fldCharType="begin"/>
      </w:r>
      <w:r>
        <w:instrText xml:space="preserve"> PAGEREF _Toc25022 \h </w:instrText>
      </w:r>
      <w:r>
        <w:fldChar w:fldCharType="separate"/>
      </w:r>
      <w:r>
        <w:t>13</w:t>
      </w:r>
      <w:r>
        <w:fldChar w:fldCharType="end"/>
      </w:r>
      <w:r>
        <w:fldChar w:fldCharType="end"/>
      </w:r>
    </w:p>
    <w:p w14:paraId="083D62FB">
      <w:pPr>
        <w:pStyle w:val="26"/>
        <w:tabs>
          <w:tab w:val="right" w:leader="dot" w:pos="9362"/>
        </w:tabs>
      </w:pPr>
      <w:r>
        <w:fldChar w:fldCharType="begin"/>
      </w:r>
      <w:r>
        <w:instrText xml:space="preserve"> HYPERLINK \l _Toc5783 </w:instrText>
      </w:r>
      <w:r>
        <w:fldChar w:fldCharType="separate"/>
      </w:r>
      <w:r>
        <w:t>5 全局参数配置</w:t>
      </w:r>
      <w:r>
        <w:tab/>
      </w:r>
      <w:r>
        <w:fldChar w:fldCharType="begin"/>
      </w:r>
      <w:r>
        <w:instrText xml:space="preserve"> PAGEREF _Toc5783 \h </w:instrText>
      </w:r>
      <w:r>
        <w:fldChar w:fldCharType="separate"/>
      </w:r>
      <w:r>
        <w:t>14</w:t>
      </w:r>
      <w:r>
        <w:fldChar w:fldCharType="end"/>
      </w:r>
      <w:r>
        <w:fldChar w:fldCharType="end"/>
      </w:r>
    </w:p>
    <w:p w14:paraId="31E3D28E">
      <w:pPr>
        <w:pStyle w:val="29"/>
        <w:tabs>
          <w:tab w:val="right" w:leader="dot" w:pos="9362"/>
        </w:tabs>
      </w:pPr>
      <w:r>
        <w:fldChar w:fldCharType="begin"/>
      </w:r>
      <w:r>
        <w:instrText xml:space="preserve"> HYPERLINK \l _Toc3128 </w:instrText>
      </w:r>
      <w:r>
        <w:fldChar w:fldCharType="separate"/>
      </w:r>
      <w:r>
        <w:t>5.1 排班与产量参数</w:t>
      </w:r>
      <w:r>
        <w:tab/>
      </w:r>
      <w:r>
        <w:fldChar w:fldCharType="begin"/>
      </w:r>
      <w:r>
        <w:instrText xml:space="preserve"> PAGEREF _Toc3128 \h </w:instrText>
      </w:r>
      <w:r>
        <w:fldChar w:fldCharType="separate"/>
      </w:r>
      <w:r>
        <w:t>14</w:t>
      </w:r>
      <w:r>
        <w:fldChar w:fldCharType="end"/>
      </w:r>
      <w:r>
        <w:fldChar w:fldCharType="end"/>
      </w:r>
    </w:p>
    <w:p w14:paraId="6C183D95">
      <w:pPr>
        <w:pStyle w:val="29"/>
        <w:tabs>
          <w:tab w:val="right" w:leader="dot" w:pos="9362"/>
        </w:tabs>
      </w:pPr>
      <w:r>
        <w:fldChar w:fldCharType="begin"/>
      </w:r>
      <w:r>
        <w:instrText xml:space="preserve"> HYPERLINK \l _Toc1861 </w:instrText>
      </w:r>
      <w:r>
        <w:fldChar w:fldCharType="separate"/>
      </w:r>
      <w:r>
        <w:t>5.2 关键设备和并发容量</w:t>
      </w:r>
      <w:r>
        <w:tab/>
      </w:r>
      <w:r>
        <w:fldChar w:fldCharType="begin"/>
      </w:r>
      <w:r>
        <w:instrText xml:space="preserve"> PAGEREF _Toc1861 \h </w:instrText>
      </w:r>
      <w:r>
        <w:fldChar w:fldCharType="separate"/>
      </w:r>
      <w:r>
        <w:t>14</w:t>
      </w:r>
      <w:r>
        <w:fldChar w:fldCharType="end"/>
      </w:r>
      <w:r>
        <w:fldChar w:fldCharType="end"/>
      </w:r>
    </w:p>
    <w:p w14:paraId="0008F8F2">
      <w:pPr>
        <w:pStyle w:val="29"/>
        <w:tabs>
          <w:tab w:val="right" w:leader="dot" w:pos="9362"/>
        </w:tabs>
      </w:pPr>
      <w:r>
        <w:fldChar w:fldCharType="begin"/>
      </w:r>
      <w:r>
        <w:instrText xml:space="preserve"> HYPERLINK \l _Toc30981 </w:instrText>
      </w:r>
      <w:r>
        <w:fldChar w:fldCharType="separate"/>
      </w:r>
      <w:r>
        <w:t>5.3 生产组织模式</w:t>
      </w:r>
      <w:r>
        <w:tab/>
      </w:r>
      <w:r>
        <w:fldChar w:fldCharType="begin"/>
      </w:r>
      <w:r>
        <w:instrText xml:space="preserve"> PAGEREF _Toc30981 \h </w:instrText>
      </w:r>
      <w:r>
        <w:fldChar w:fldCharType="separate"/>
      </w:r>
      <w:r>
        <w:t>14</w:t>
      </w:r>
      <w:r>
        <w:fldChar w:fldCharType="end"/>
      </w:r>
      <w:r>
        <w:fldChar w:fldCharType="end"/>
      </w:r>
    </w:p>
    <w:p w14:paraId="1400C573">
      <w:pPr>
        <w:pStyle w:val="29"/>
        <w:tabs>
          <w:tab w:val="right" w:leader="dot" w:pos="9362"/>
        </w:tabs>
      </w:pPr>
      <w:r>
        <w:fldChar w:fldCharType="begin"/>
      </w:r>
      <w:r>
        <w:instrText xml:space="preserve"> HYPERLINK \l _Toc22273 </w:instrText>
      </w:r>
      <w:r>
        <w:fldChar w:fldCharType="separate"/>
      </w:r>
      <w:r>
        <w:t>5.4 人因疲劳休息规则</w:t>
      </w:r>
      <w:r>
        <w:tab/>
      </w:r>
      <w:r>
        <w:fldChar w:fldCharType="begin"/>
      </w:r>
      <w:r>
        <w:instrText xml:space="preserve"> PAGEREF _Toc22273 \h </w:instrText>
      </w:r>
      <w:r>
        <w:fldChar w:fldCharType="separate"/>
      </w:r>
      <w:r>
        <w:t>14</w:t>
      </w:r>
      <w:r>
        <w:fldChar w:fldCharType="end"/>
      </w:r>
      <w:r>
        <w:fldChar w:fldCharType="end"/>
      </w:r>
    </w:p>
    <w:p w14:paraId="301F7B29">
      <w:pPr>
        <w:pStyle w:val="26"/>
        <w:tabs>
          <w:tab w:val="right" w:leader="dot" w:pos="9362"/>
        </w:tabs>
      </w:pPr>
      <w:r>
        <w:fldChar w:fldCharType="begin"/>
      </w:r>
      <w:r>
        <w:instrText xml:space="preserve"> HYPERLINK \l _Toc20356 </w:instrText>
      </w:r>
      <w:r>
        <w:fldChar w:fldCharType="separate"/>
      </w:r>
      <w:r>
        <w:t>6 离散事件仿真与调度引擎</w:t>
      </w:r>
      <w:r>
        <w:tab/>
      </w:r>
      <w:r>
        <w:fldChar w:fldCharType="begin"/>
      </w:r>
      <w:r>
        <w:instrText xml:space="preserve"> PAGEREF _Toc20356 \h </w:instrText>
      </w:r>
      <w:r>
        <w:fldChar w:fldCharType="separate"/>
      </w:r>
      <w:r>
        <w:t>16</w:t>
      </w:r>
      <w:r>
        <w:fldChar w:fldCharType="end"/>
      </w:r>
      <w:r>
        <w:fldChar w:fldCharType="end"/>
      </w:r>
    </w:p>
    <w:p w14:paraId="06EF3772">
      <w:pPr>
        <w:pStyle w:val="29"/>
        <w:tabs>
          <w:tab w:val="right" w:leader="dot" w:pos="9362"/>
        </w:tabs>
      </w:pPr>
      <w:r>
        <w:fldChar w:fldCharType="begin"/>
      </w:r>
      <w:r>
        <w:instrText xml:space="preserve"> HYPERLINK \l _Toc27141 </w:instrText>
      </w:r>
      <w:r>
        <w:fldChar w:fldCharType="separate"/>
      </w:r>
      <w:r>
        <w:t>6.1 仿真输入构造</w:t>
      </w:r>
      <w:r>
        <w:tab/>
      </w:r>
      <w:r>
        <w:fldChar w:fldCharType="begin"/>
      </w:r>
      <w:r>
        <w:instrText xml:space="preserve"> PAGEREF _Toc27141 \h </w:instrText>
      </w:r>
      <w:r>
        <w:fldChar w:fldCharType="separate"/>
      </w:r>
      <w:r>
        <w:t>16</w:t>
      </w:r>
      <w:r>
        <w:fldChar w:fldCharType="end"/>
      </w:r>
      <w:r>
        <w:fldChar w:fldCharType="end"/>
      </w:r>
    </w:p>
    <w:p w14:paraId="6EB3FE1D">
      <w:pPr>
        <w:pStyle w:val="29"/>
        <w:tabs>
          <w:tab w:val="right" w:leader="dot" w:pos="9362"/>
        </w:tabs>
      </w:pPr>
      <w:r>
        <w:fldChar w:fldCharType="begin"/>
      </w:r>
      <w:r>
        <w:instrText xml:space="preserve"> HYPERLINK \l _Toc7194 </w:instrText>
      </w:r>
      <w:r>
        <w:fldChar w:fldCharType="separate"/>
      </w:r>
      <w:r>
        <w:t>6.2 DAG 拓扑调度与动态就绪检测</w:t>
      </w:r>
      <w:r>
        <w:tab/>
      </w:r>
      <w:r>
        <w:fldChar w:fldCharType="begin"/>
      </w:r>
      <w:r>
        <w:instrText xml:space="preserve"> PAGEREF _Toc7194 \h </w:instrText>
      </w:r>
      <w:r>
        <w:fldChar w:fldCharType="separate"/>
      </w:r>
      <w:r>
        <w:t>16</w:t>
      </w:r>
      <w:r>
        <w:fldChar w:fldCharType="end"/>
      </w:r>
      <w:r>
        <w:fldChar w:fldCharType="end"/>
      </w:r>
    </w:p>
    <w:p w14:paraId="40AC0225">
      <w:pPr>
        <w:pStyle w:val="29"/>
        <w:tabs>
          <w:tab w:val="right" w:leader="dot" w:pos="9362"/>
        </w:tabs>
      </w:pPr>
      <w:r>
        <w:fldChar w:fldCharType="begin"/>
      </w:r>
      <w:r>
        <w:instrText xml:space="preserve"> HYPERLINK \l _Toc6143 </w:instrText>
      </w:r>
      <w:r>
        <w:fldChar w:fldCharType="separate"/>
      </w:r>
      <w:r>
        <w:t>6.3 资源受限调度</w:t>
      </w:r>
      <w:r>
        <w:tab/>
      </w:r>
      <w:r>
        <w:fldChar w:fldCharType="begin"/>
      </w:r>
      <w:r>
        <w:instrText xml:space="preserve"> PAGEREF _Toc6143 \h </w:instrText>
      </w:r>
      <w:r>
        <w:fldChar w:fldCharType="separate"/>
      </w:r>
      <w:r>
        <w:t>16</w:t>
      </w:r>
      <w:r>
        <w:fldChar w:fldCharType="end"/>
      </w:r>
      <w:r>
        <w:fldChar w:fldCharType="end"/>
      </w:r>
    </w:p>
    <w:p w14:paraId="55AF812B">
      <w:pPr>
        <w:pStyle w:val="29"/>
        <w:tabs>
          <w:tab w:val="right" w:leader="dot" w:pos="9362"/>
        </w:tabs>
      </w:pPr>
      <w:r>
        <w:fldChar w:fldCharType="begin"/>
      </w:r>
      <w:r>
        <w:instrText xml:space="preserve"> HYPERLINK \l _Toc26897 </w:instrText>
      </w:r>
      <w:r>
        <w:fldChar w:fldCharType="separate"/>
      </w:r>
      <w:r>
        <w:t>6.4 多发动机并行与平滑投放</w:t>
      </w:r>
      <w:r>
        <w:tab/>
      </w:r>
      <w:r>
        <w:fldChar w:fldCharType="begin"/>
      </w:r>
      <w:r>
        <w:instrText xml:space="preserve"> PAGEREF _Toc26897 \h </w:instrText>
      </w:r>
      <w:r>
        <w:fldChar w:fldCharType="separate"/>
      </w:r>
      <w:r>
        <w:t>17</w:t>
      </w:r>
      <w:r>
        <w:fldChar w:fldCharType="end"/>
      </w:r>
      <w:r>
        <w:fldChar w:fldCharType="end"/>
      </w:r>
    </w:p>
    <w:p w14:paraId="7CE8E4D2">
      <w:pPr>
        <w:pStyle w:val="29"/>
        <w:tabs>
          <w:tab w:val="right" w:leader="dot" w:pos="9362"/>
        </w:tabs>
      </w:pPr>
      <w:r>
        <w:fldChar w:fldCharType="begin"/>
      </w:r>
      <w:r>
        <w:instrText xml:space="preserve"> HYPERLINK \l _Toc30218 </w:instrText>
      </w:r>
      <w:r>
        <w:fldChar w:fldCharType="separate"/>
      </w:r>
      <w:r>
        <w:t>6.5 工时随机性、质量返工与工位串行</w:t>
      </w:r>
      <w:r>
        <w:tab/>
      </w:r>
      <w:r>
        <w:fldChar w:fldCharType="begin"/>
      </w:r>
      <w:r>
        <w:instrText xml:space="preserve"> PAGEREF _Toc30218 \h </w:instrText>
      </w:r>
      <w:r>
        <w:fldChar w:fldCharType="separate"/>
      </w:r>
      <w:r>
        <w:t>17</w:t>
      </w:r>
      <w:r>
        <w:fldChar w:fldCharType="end"/>
      </w:r>
      <w:r>
        <w:fldChar w:fldCharType="end"/>
      </w:r>
    </w:p>
    <w:p w14:paraId="65EF464B">
      <w:pPr>
        <w:pStyle w:val="29"/>
        <w:tabs>
          <w:tab w:val="right" w:leader="dot" w:pos="9362"/>
        </w:tabs>
      </w:pPr>
      <w:r>
        <w:fldChar w:fldCharType="begin"/>
      </w:r>
      <w:r>
        <w:instrText xml:space="preserve"> HYPERLINK \l _Toc9030 </w:instrText>
      </w:r>
      <w:r>
        <w:fldChar w:fldCharType="separate"/>
      </w:r>
      <w:r>
        <w:t>6.6 仿真事件采集</w:t>
      </w:r>
      <w:r>
        <w:tab/>
      </w:r>
      <w:r>
        <w:fldChar w:fldCharType="begin"/>
      </w:r>
      <w:r>
        <w:instrText xml:space="preserve"> PAGEREF _Toc9030 \h </w:instrText>
      </w:r>
      <w:r>
        <w:fldChar w:fldCharType="separate"/>
      </w:r>
      <w:r>
        <w:t>17</w:t>
      </w:r>
      <w:r>
        <w:fldChar w:fldCharType="end"/>
      </w:r>
      <w:r>
        <w:fldChar w:fldCharType="end"/>
      </w:r>
    </w:p>
    <w:p w14:paraId="5542F111">
      <w:pPr>
        <w:pStyle w:val="26"/>
        <w:tabs>
          <w:tab w:val="right" w:leader="dot" w:pos="9362"/>
        </w:tabs>
      </w:pPr>
      <w:r>
        <w:fldChar w:fldCharType="begin"/>
      </w:r>
      <w:r>
        <w:instrText xml:space="preserve"> HYPERLINK \l _Toc24841 </w:instrText>
      </w:r>
      <w:r>
        <w:fldChar w:fldCharType="separate"/>
      </w:r>
      <w:r>
        <w:t>7 人因工程疲劳评估</w:t>
      </w:r>
      <w:r>
        <w:tab/>
      </w:r>
      <w:r>
        <w:fldChar w:fldCharType="begin"/>
      </w:r>
      <w:r>
        <w:instrText xml:space="preserve"> PAGEREF _Toc24841 \h </w:instrText>
      </w:r>
      <w:r>
        <w:fldChar w:fldCharType="separate"/>
      </w:r>
      <w:r>
        <w:t>18</w:t>
      </w:r>
      <w:r>
        <w:fldChar w:fldCharType="end"/>
      </w:r>
      <w:r>
        <w:fldChar w:fldCharType="end"/>
      </w:r>
    </w:p>
    <w:p w14:paraId="70D7FAEC">
      <w:pPr>
        <w:pStyle w:val="29"/>
        <w:tabs>
          <w:tab w:val="right" w:leader="dot" w:pos="9362"/>
        </w:tabs>
      </w:pPr>
      <w:r>
        <w:fldChar w:fldCharType="begin"/>
      </w:r>
      <w:r>
        <w:instrText xml:space="preserve"> HYPERLINK \l _Toc20870 </w:instrText>
      </w:r>
      <w:r>
        <w:fldChar w:fldCharType="separate"/>
      </w:r>
      <w:r>
        <w:t>7.1 REBA 负荷模型</w:t>
      </w:r>
      <w:r>
        <w:tab/>
      </w:r>
      <w:r>
        <w:fldChar w:fldCharType="begin"/>
      </w:r>
      <w:r>
        <w:instrText xml:space="preserve"> PAGEREF _Toc20870 \h </w:instrText>
      </w:r>
      <w:r>
        <w:fldChar w:fldCharType="separate"/>
      </w:r>
      <w:r>
        <w:t>18</w:t>
      </w:r>
      <w:r>
        <w:fldChar w:fldCharType="end"/>
      </w:r>
      <w:r>
        <w:fldChar w:fldCharType="end"/>
      </w:r>
    </w:p>
    <w:p w14:paraId="3ECB24B0">
      <w:pPr>
        <w:pStyle w:val="29"/>
        <w:tabs>
          <w:tab w:val="right" w:leader="dot" w:pos="9362"/>
        </w:tabs>
      </w:pPr>
      <w:r>
        <w:fldChar w:fldCharType="begin"/>
      </w:r>
      <w:r>
        <w:instrText xml:space="preserve"> HYPERLINK \l _Toc21552 </w:instrText>
      </w:r>
      <w:r>
        <w:fldChar w:fldCharType="separate"/>
      </w:r>
      <w:r>
        <w:t>7.2 连续工作与恢复</w:t>
      </w:r>
      <w:r>
        <w:tab/>
      </w:r>
      <w:r>
        <w:fldChar w:fldCharType="begin"/>
      </w:r>
      <w:r>
        <w:instrText xml:space="preserve"> PAGEREF _Toc21552 \h </w:instrText>
      </w:r>
      <w:r>
        <w:fldChar w:fldCharType="separate"/>
      </w:r>
      <w:r>
        <w:t>18</w:t>
      </w:r>
      <w:r>
        <w:fldChar w:fldCharType="end"/>
      </w:r>
      <w:r>
        <w:fldChar w:fldCharType="end"/>
      </w:r>
    </w:p>
    <w:p w14:paraId="47001082">
      <w:pPr>
        <w:pStyle w:val="29"/>
        <w:tabs>
          <w:tab w:val="right" w:leader="dot" w:pos="9362"/>
        </w:tabs>
      </w:pPr>
      <w:r>
        <w:fldChar w:fldCharType="begin"/>
      </w:r>
      <w:r>
        <w:instrText xml:space="preserve"> HYPERLINK \l _Toc7043 </w:instrText>
      </w:r>
      <w:r>
        <w:fldChar w:fldCharType="separate"/>
      </w:r>
      <w:r>
        <w:t>7.3 人因与基准模式对比</w:t>
      </w:r>
      <w:r>
        <w:tab/>
      </w:r>
      <w:r>
        <w:fldChar w:fldCharType="begin"/>
      </w:r>
      <w:r>
        <w:instrText xml:space="preserve"> PAGEREF _Toc7043 \h </w:instrText>
      </w:r>
      <w:r>
        <w:fldChar w:fldCharType="separate"/>
      </w:r>
      <w:r>
        <w:t>18</w:t>
      </w:r>
      <w:r>
        <w:fldChar w:fldCharType="end"/>
      </w:r>
      <w:r>
        <w:fldChar w:fldCharType="end"/>
      </w:r>
    </w:p>
    <w:p w14:paraId="5D87D182">
      <w:pPr>
        <w:pStyle w:val="29"/>
        <w:tabs>
          <w:tab w:val="right" w:leader="dot" w:pos="9362"/>
        </w:tabs>
      </w:pPr>
      <w:r>
        <w:fldChar w:fldCharType="begin"/>
      </w:r>
      <w:r>
        <w:instrText xml:space="preserve"> HYPERLINK \l _Toc13442 </w:instrText>
      </w:r>
      <w:r>
        <w:fldChar w:fldCharType="separate"/>
      </w:r>
      <w:r>
        <w:t>7.4 疲劳曲线和暴露指标</w:t>
      </w:r>
      <w:r>
        <w:tab/>
      </w:r>
      <w:r>
        <w:fldChar w:fldCharType="begin"/>
      </w:r>
      <w:r>
        <w:instrText xml:space="preserve"> PAGEREF _Toc13442 \h </w:instrText>
      </w:r>
      <w:r>
        <w:fldChar w:fldCharType="separate"/>
      </w:r>
      <w:r>
        <w:t>18</w:t>
      </w:r>
      <w:r>
        <w:fldChar w:fldCharType="end"/>
      </w:r>
      <w:r>
        <w:fldChar w:fldCharType="end"/>
      </w:r>
    </w:p>
    <w:p w14:paraId="3A7E9F55">
      <w:pPr>
        <w:pStyle w:val="26"/>
        <w:tabs>
          <w:tab w:val="right" w:leader="dot" w:pos="9362"/>
        </w:tabs>
      </w:pPr>
      <w:r>
        <w:fldChar w:fldCharType="begin"/>
      </w:r>
      <w:r>
        <w:instrText xml:space="preserve"> HYPERLINK \l _Toc17869 </w:instrText>
      </w:r>
      <w:r>
        <w:fldChar w:fldCharType="separate"/>
      </w:r>
      <w:r>
        <w:t>8 数据可视化与智能分析报表</w:t>
      </w:r>
      <w:r>
        <w:tab/>
      </w:r>
      <w:r>
        <w:fldChar w:fldCharType="begin"/>
      </w:r>
      <w:r>
        <w:instrText xml:space="preserve"> PAGEREF _Toc17869 \h </w:instrText>
      </w:r>
      <w:r>
        <w:fldChar w:fldCharType="separate"/>
      </w:r>
      <w:r>
        <w:t>19</w:t>
      </w:r>
      <w:r>
        <w:fldChar w:fldCharType="end"/>
      </w:r>
      <w:r>
        <w:fldChar w:fldCharType="end"/>
      </w:r>
    </w:p>
    <w:p w14:paraId="210F8856">
      <w:pPr>
        <w:pStyle w:val="29"/>
        <w:tabs>
          <w:tab w:val="right" w:leader="dot" w:pos="9362"/>
        </w:tabs>
      </w:pPr>
      <w:r>
        <w:fldChar w:fldCharType="begin"/>
      </w:r>
      <w:r>
        <w:instrText xml:space="preserve"> HYPERLINK \l _Toc16776 </w:instrText>
      </w:r>
      <w:r>
        <w:fldChar w:fldCharType="separate"/>
      </w:r>
      <w:r>
        <w:t>8.1 KPI 仪表盘</w:t>
      </w:r>
      <w:r>
        <w:tab/>
      </w:r>
      <w:r>
        <w:fldChar w:fldCharType="begin"/>
      </w:r>
      <w:r>
        <w:instrText xml:space="preserve"> PAGEREF _Toc16776 \h </w:instrText>
      </w:r>
      <w:r>
        <w:fldChar w:fldCharType="separate"/>
      </w:r>
      <w:r>
        <w:t>19</w:t>
      </w:r>
      <w:r>
        <w:fldChar w:fldCharType="end"/>
      </w:r>
      <w:r>
        <w:fldChar w:fldCharType="end"/>
      </w:r>
    </w:p>
    <w:p w14:paraId="50D2A4DC">
      <w:pPr>
        <w:pStyle w:val="29"/>
        <w:tabs>
          <w:tab w:val="right" w:leader="dot" w:pos="9362"/>
        </w:tabs>
      </w:pPr>
      <w:r>
        <w:fldChar w:fldCharType="begin"/>
      </w:r>
      <w:r>
        <w:instrText xml:space="preserve"> HYPERLINK \l _Toc12850 </w:instrText>
      </w:r>
      <w:r>
        <w:fldChar w:fldCharType="separate"/>
      </w:r>
      <w:r>
        <w:t>8.2 工人和设备利用率</w:t>
      </w:r>
      <w:r>
        <w:tab/>
      </w:r>
      <w:r>
        <w:fldChar w:fldCharType="begin"/>
      </w:r>
      <w:r>
        <w:instrText xml:space="preserve"> PAGEREF _Toc12850 \h </w:instrText>
      </w:r>
      <w:r>
        <w:fldChar w:fldCharType="separate"/>
      </w:r>
      <w:r>
        <w:t>19</w:t>
      </w:r>
      <w:r>
        <w:fldChar w:fldCharType="end"/>
      </w:r>
      <w:r>
        <w:fldChar w:fldCharType="end"/>
      </w:r>
    </w:p>
    <w:p w14:paraId="08C02AAF">
      <w:pPr>
        <w:pStyle w:val="29"/>
        <w:tabs>
          <w:tab w:val="right" w:leader="dot" w:pos="9362"/>
        </w:tabs>
      </w:pPr>
      <w:r>
        <w:fldChar w:fldCharType="begin"/>
      </w:r>
      <w:r>
        <w:instrText xml:space="preserve"> HYPERLINK \l _Toc7319 </w:instrText>
      </w:r>
      <w:r>
        <w:fldChar w:fldCharType="separate"/>
      </w:r>
      <w:r>
        <w:t>8.3 疲劳度演化</w:t>
      </w:r>
      <w:r>
        <w:tab/>
      </w:r>
      <w:r>
        <w:fldChar w:fldCharType="begin"/>
      </w:r>
      <w:r>
        <w:instrText xml:space="preserve"> PAGEREF _Toc7319 \h </w:instrText>
      </w:r>
      <w:r>
        <w:fldChar w:fldCharType="separate"/>
      </w:r>
      <w:r>
        <w:t>19</w:t>
      </w:r>
      <w:r>
        <w:fldChar w:fldCharType="end"/>
      </w:r>
      <w:r>
        <w:fldChar w:fldCharType="end"/>
      </w:r>
    </w:p>
    <w:p w14:paraId="0D63A421">
      <w:pPr>
        <w:pStyle w:val="29"/>
        <w:tabs>
          <w:tab w:val="right" w:leader="dot" w:pos="9362"/>
        </w:tabs>
      </w:pPr>
      <w:r>
        <w:fldChar w:fldCharType="begin"/>
      </w:r>
      <w:r>
        <w:instrText xml:space="preserve"> HYPERLINK \l _Toc12394 </w:instrText>
      </w:r>
      <w:r>
        <w:fldChar w:fldCharType="separate"/>
      </w:r>
      <w:r>
        <w:t>8.4 智能瓶颈分析</w:t>
      </w:r>
      <w:r>
        <w:tab/>
      </w:r>
      <w:r>
        <w:fldChar w:fldCharType="begin"/>
      </w:r>
      <w:r>
        <w:instrText xml:space="preserve"> PAGEREF _Toc12394 \h </w:instrText>
      </w:r>
      <w:r>
        <w:fldChar w:fldCharType="separate"/>
      </w:r>
      <w:r>
        <w:t>20</w:t>
      </w:r>
      <w:r>
        <w:fldChar w:fldCharType="end"/>
      </w:r>
      <w:r>
        <w:fldChar w:fldCharType="end"/>
      </w:r>
    </w:p>
    <w:p w14:paraId="72451895">
      <w:pPr>
        <w:pStyle w:val="29"/>
        <w:tabs>
          <w:tab w:val="right" w:leader="dot" w:pos="9362"/>
        </w:tabs>
      </w:pPr>
      <w:r>
        <w:fldChar w:fldCharType="begin"/>
      </w:r>
      <w:r>
        <w:instrText xml:space="preserve"> HYPERLINK \l _Toc9048 </w:instrText>
      </w:r>
      <w:r>
        <w:fldChar w:fldCharType="separate"/>
      </w:r>
      <w:r>
        <w:t>8.5 工位统计与物流流转</w:t>
      </w:r>
      <w:r>
        <w:tab/>
      </w:r>
      <w:r>
        <w:fldChar w:fldCharType="begin"/>
      </w:r>
      <w:r>
        <w:instrText xml:space="preserve"> PAGEREF _Toc9048 \h </w:instrText>
      </w:r>
      <w:r>
        <w:fldChar w:fldCharType="separate"/>
      </w:r>
      <w:r>
        <w:t>21</w:t>
      </w:r>
      <w:r>
        <w:fldChar w:fldCharType="end"/>
      </w:r>
      <w:r>
        <w:fldChar w:fldCharType="end"/>
      </w:r>
    </w:p>
    <w:p w14:paraId="4FD60F6F">
      <w:pPr>
        <w:pStyle w:val="26"/>
        <w:tabs>
          <w:tab w:val="right" w:leader="dot" w:pos="9362"/>
        </w:tabs>
      </w:pPr>
      <w:r>
        <w:fldChar w:fldCharType="begin"/>
      </w:r>
      <w:r>
        <w:instrText xml:space="preserve"> HYPERLINK \l _Toc2316 </w:instrText>
      </w:r>
      <w:r>
        <w:fldChar w:fldCharType="separate"/>
      </w:r>
      <w:r>
        <w:t>9 甘特图与排产明细</w:t>
      </w:r>
      <w:r>
        <w:tab/>
      </w:r>
      <w:r>
        <w:fldChar w:fldCharType="begin"/>
      </w:r>
      <w:r>
        <w:instrText xml:space="preserve"> PAGEREF _Toc2316 \h </w:instrText>
      </w:r>
      <w:r>
        <w:fldChar w:fldCharType="separate"/>
      </w:r>
      <w:r>
        <w:t>22</w:t>
      </w:r>
      <w:r>
        <w:fldChar w:fldCharType="end"/>
      </w:r>
      <w:r>
        <w:fldChar w:fldCharType="end"/>
      </w:r>
    </w:p>
    <w:p w14:paraId="318F1305">
      <w:pPr>
        <w:pStyle w:val="29"/>
        <w:tabs>
          <w:tab w:val="right" w:leader="dot" w:pos="9362"/>
        </w:tabs>
      </w:pPr>
      <w:r>
        <w:fldChar w:fldCharType="begin"/>
      </w:r>
      <w:r>
        <w:instrText xml:space="preserve"> HYPERLINK \l _Toc32618 </w:instrText>
      </w:r>
      <w:r>
        <w:fldChar w:fldCharType="separate"/>
      </w:r>
      <w:r>
        <w:t>9.1 时间范围筛选</w:t>
      </w:r>
      <w:r>
        <w:tab/>
      </w:r>
      <w:r>
        <w:fldChar w:fldCharType="begin"/>
      </w:r>
      <w:r>
        <w:instrText xml:space="preserve"> PAGEREF _Toc32618 \h </w:instrText>
      </w:r>
      <w:r>
        <w:fldChar w:fldCharType="separate"/>
      </w:r>
      <w:r>
        <w:t>22</w:t>
      </w:r>
      <w:r>
        <w:fldChar w:fldCharType="end"/>
      </w:r>
      <w:r>
        <w:fldChar w:fldCharType="end"/>
      </w:r>
    </w:p>
    <w:p w14:paraId="058A80E6">
      <w:pPr>
        <w:pStyle w:val="29"/>
        <w:tabs>
          <w:tab w:val="right" w:leader="dot" w:pos="9362"/>
        </w:tabs>
      </w:pPr>
      <w:r>
        <w:fldChar w:fldCharType="begin"/>
      </w:r>
      <w:r>
        <w:instrText xml:space="preserve"> HYPERLINK \l _Toc15628 </w:instrText>
      </w:r>
      <w:r>
        <w:fldChar w:fldCharType="separate"/>
      </w:r>
      <w:r>
        <w:t>9.2 按发动机的生产进度甘特图</w:t>
      </w:r>
      <w:r>
        <w:tab/>
      </w:r>
      <w:r>
        <w:fldChar w:fldCharType="begin"/>
      </w:r>
      <w:r>
        <w:instrText xml:space="preserve"> PAGEREF _Toc15628 \h </w:instrText>
      </w:r>
      <w:r>
        <w:fldChar w:fldCharType="separate"/>
      </w:r>
      <w:r>
        <w:t>22</w:t>
      </w:r>
      <w:r>
        <w:fldChar w:fldCharType="end"/>
      </w:r>
      <w:r>
        <w:fldChar w:fldCharType="end"/>
      </w:r>
    </w:p>
    <w:p w14:paraId="278CFEEF">
      <w:pPr>
        <w:pStyle w:val="29"/>
        <w:tabs>
          <w:tab w:val="right" w:leader="dot" w:pos="9362"/>
        </w:tabs>
      </w:pPr>
      <w:r>
        <w:fldChar w:fldCharType="begin"/>
      </w:r>
      <w:r>
        <w:instrText xml:space="preserve"> HYPERLINK \l _Toc7266 </w:instrText>
      </w:r>
      <w:r>
        <w:fldChar w:fldCharType="separate"/>
      </w:r>
      <w:r>
        <w:t>9.3 按工人的资源排产甘特图</w:t>
      </w:r>
      <w:r>
        <w:tab/>
      </w:r>
      <w:r>
        <w:fldChar w:fldCharType="begin"/>
      </w:r>
      <w:r>
        <w:instrText xml:space="preserve"> PAGEREF _Toc7266 \h </w:instrText>
      </w:r>
      <w:r>
        <w:fldChar w:fldCharType="separate"/>
      </w:r>
      <w:r>
        <w:t>22</w:t>
      </w:r>
      <w:r>
        <w:fldChar w:fldCharType="end"/>
      </w:r>
      <w:r>
        <w:fldChar w:fldCharType="end"/>
      </w:r>
    </w:p>
    <w:p w14:paraId="7D773C03">
      <w:pPr>
        <w:pStyle w:val="29"/>
        <w:tabs>
          <w:tab w:val="right" w:leader="dot" w:pos="9362"/>
        </w:tabs>
      </w:pPr>
      <w:r>
        <w:fldChar w:fldCharType="begin"/>
      </w:r>
      <w:r>
        <w:instrText xml:space="preserve"> HYPERLINK \l _Toc1627 </w:instrText>
      </w:r>
      <w:r>
        <w:fldChar w:fldCharType="separate"/>
      </w:r>
      <w:r>
        <w:t>9.4 甘特图导出</w:t>
      </w:r>
      <w:r>
        <w:tab/>
      </w:r>
      <w:r>
        <w:fldChar w:fldCharType="begin"/>
      </w:r>
      <w:r>
        <w:instrText xml:space="preserve"> PAGEREF _Toc1627 \h </w:instrText>
      </w:r>
      <w:r>
        <w:fldChar w:fldCharType="separate"/>
      </w:r>
      <w:r>
        <w:t>23</w:t>
      </w:r>
      <w:r>
        <w:fldChar w:fldCharType="end"/>
      </w:r>
      <w:r>
        <w:fldChar w:fldCharType="end"/>
      </w:r>
    </w:p>
    <w:p w14:paraId="6BC18669">
      <w:pPr>
        <w:pStyle w:val="26"/>
        <w:tabs>
          <w:tab w:val="right" w:leader="dot" w:pos="9362"/>
        </w:tabs>
      </w:pPr>
      <w:r>
        <w:fldChar w:fldCharType="begin"/>
      </w:r>
      <w:r>
        <w:instrText xml:space="preserve"> HYPERLINK \l _Toc32368 </w:instrText>
      </w:r>
      <w:r>
        <w:fldChar w:fldCharType="separate"/>
      </w:r>
      <w:r>
        <w:t>10 数据导入、导出与接口</w:t>
      </w:r>
      <w:r>
        <w:tab/>
      </w:r>
      <w:r>
        <w:fldChar w:fldCharType="begin"/>
      </w:r>
      <w:r>
        <w:instrText xml:space="preserve"> PAGEREF _Toc32368 \h </w:instrText>
      </w:r>
      <w:r>
        <w:fldChar w:fldCharType="separate"/>
      </w:r>
      <w:r>
        <w:t>24</w:t>
      </w:r>
      <w:r>
        <w:fldChar w:fldCharType="end"/>
      </w:r>
      <w:r>
        <w:fldChar w:fldCharType="end"/>
      </w:r>
    </w:p>
    <w:p w14:paraId="210E7E0C">
      <w:pPr>
        <w:pStyle w:val="29"/>
        <w:tabs>
          <w:tab w:val="right" w:leader="dot" w:pos="9362"/>
        </w:tabs>
      </w:pPr>
      <w:r>
        <w:fldChar w:fldCharType="begin"/>
      </w:r>
      <w:r>
        <w:instrText xml:space="preserve"> HYPERLINK \l _Toc19042 </w:instrText>
      </w:r>
      <w:r>
        <w:fldChar w:fldCharType="separate"/>
      </w:r>
      <w:r>
        <w:t>10.1 工艺 CSV 字段</w:t>
      </w:r>
      <w:r>
        <w:tab/>
      </w:r>
      <w:r>
        <w:fldChar w:fldCharType="begin"/>
      </w:r>
      <w:r>
        <w:instrText xml:space="preserve"> PAGEREF _Toc19042 \h </w:instrText>
      </w:r>
      <w:r>
        <w:fldChar w:fldCharType="separate"/>
      </w:r>
      <w:r>
        <w:t>24</w:t>
      </w:r>
      <w:r>
        <w:fldChar w:fldCharType="end"/>
      </w:r>
      <w:r>
        <w:fldChar w:fldCharType="end"/>
      </w:r>
    </w:p>
    <w:p w14:paraId="48C6DC64">
      <w:pPr>
        <w:pStyle w:val="29"/>
        <w:tabs>
          <w:tab w:val="right" w:leader="dot" w:pos="9362"/>
        </w:tabs>
      </w:pPr>
      <w:r>
        <w:fldChar w:fldCharType="begin"/>
      </w:r>
      <w:r>
        <w:instrText xml:space="preserve"> HYPERLINK \l _Toc1897 </w:instrText>
      </w:r>
      <w:r>
        <w:fldChar w:fldCharType="separate"/>
      </w:r>
      <w:r>
        <w:t>10.2 JSON 请求和结果</w:t>
      </w:r>
      <w:r>
        <w:tab/>
      </w:r>
      <w:r>
        <w:fldChar w:fldCharType="begin"/>
      </w:r>
      <w:r>
        <w:instrText xml:space="preserve"> PAGEREF _Toc1897 \h </w:instrText>
      </w:r>
      <w:r>
        <w:fldChar w:fldCharType="separate"/>
      </w:r>
      <w:r>
        <w:t>24</w:t>
      </w:r>
      <w:r>
        <w:fldChar w:fldCharType="end"/>
      </w:r>
      <w:r>
        <w:fldChar w:fldCharType="end"/>
      </w:r>
    </w:p>
    <w:p w14:paraId="22A936C4">
      <w:pPr>
        <w:pStyle w:val="29"/>
        <w:tabs>
          <w:tab w:val="right" w:leader="dot" w:pos="9362"/>
        </w:tabs>
      </w:pPr>
      <w:r>
        <w:fldChar w:fldCharType="begin"/>
      </w:r>
      <w:r>
        <w:instrText xml:space="preserve"> HYPERLINK \l _Toc30058 </w:instrText>
      </w:r>
      <w:r>
        <w:fldChar w:fldCharType="separate"/>
      </w:r>
      <w:r>
        <w:t>10.3 REST 接口分类</w:t>
      </w:r>
      <w:r>
        <w:tab/>
      </w:r>
      <w:r>
        <w:fldChar w:fldCharType="begin"/>
      </w:r>
      <w:r>
        <w:instrText xml:space="preserve"> PAGEREF _Toc30058 \h </w:instrText>
      </w:r>
      <w:r>
        <w:fldChar w:fldCharType="separate"/>
      </w:r>
      <w:r>
        <w:t>24</w:t>
      </w:r>
      <w:r>
        <w:fldChar w:fldCharType="end"/>
      </w:r>
      <w:r>
        <w:fldChar w:fldCharType="end"/>
      </w:r>
    </w:p>
    <w:p w14:paraId="1EF977E1">
      <w:pPr>
        <w:pStyle w:val="26"/>
        <w:tabs>
          <w:tab w:val="right" w:leader="dot" w:pos="9362"/>
        </w:tabs>
      </w:pPr>
      <w:r>
        <w:fldChar w:fldCharType="begin"/>
      </w:r>
      <w:r>
        <w:instrText xml:space="preserve"> HYPERLINK \l _Toc25879 </w:instrText>
      </w:r>
      <w:r>
        <w:fldChar w:fldCharType="separate"/>
      </w:r>
      <w:r>
        <w:t>11 系统架构与技术特点</w:t>
      </w:r>
      <w:r>
        <w:tab/>
      </w:r>
      <w:r>
        <w:fldChar w:fldCharType="begin"/>
      </w:r>
      <w:r>
        <w:instrText xml:space="preserve"> PAGEREF _Toc25879 \h </w:instrText>
      </w:r>
      <w:r>
        <w:fldChar w:fldCharType="separate"/>
      </w:r>
      <w:r>
        <w:t>26</w:t>
      </w:r>
      <w:r>
        <w:fldChar w:fldCharType="end"/>
      </w:r>
      <w:r>
        <w:fldChar w:fldCharType="end"/>
      </w:r>
    </w:p>
    <w:p w14:paraId="365B36D9">
      <w:pPr>
        <w:pStyle w:val="29"/>
        <w:tabs>
          <w:tab w:val="right" w:leader="dot" w:pos="9362"/>
        </w:tabs>
      </w:pPr>
      <w:r>
        <w:fldChar w:fldCharType="begin"/>
      </w:r>
      <w:r>
        <w:instrText xml:space="preserve"> HYPERLINK \l _Toc11824 </w:instrText>
      </w:r>
      <w:r>
        <w:fldChar w:fldCharType="separate"/>
      </w:r>
      <w:r>
        <w:t>11.1 B/S 分层架构</w:t>
      </w:r>
      <w:r>
        <w:tab/>
      </w:r>
      <w:r>
        <w:fldChar w:fldCharType="begin"/>
      </w:r>
      <w:r>
        <w:instrText xml:space="preserve"> PAGEREF _Toc11824 \h </w:instrText>
      </w:r>
      <w:r>
        <w:fldChar w:fldCharType="separate"/>
      </w:r>
      <w:r>
        <w:t>26</w:t>
      </w:r>
      <w:r>
        <w:fldChar w:fldCharType="end"/>
      </w:r>
      <w:r>
        <w:fldChar w:fldCharType="end"/>
      </w:r>
    </w:p>
    <w:p w14:paraId="10BB29E6">
      <w:pPr>
        <w:pStyle w:val="29"/>
        <w:tabs>
          <w:tab w:val="right" w:leader="dot" w:pos="9362"/>
        </w:tabs>
      </w:pPr>
      <w:r>
        <w:fldChar w:fldCharType="begin"/>
      </w:r>
      <w:r>
        <w:instrText xml:space="preserve"> HYPERLINK \l _Toc31474 </w:instrText>
      </w:r>
      <w:r>
        <w:fldChar w:fldCharType="separate"/>
      </w:r>
      <w:r>
        <w:t>11.2 主要技术特点</w:t>
      </w:r>
      <w:r>
        <w:tab/>
      </w:r>
      <w:r>
        <w:fldChar w:fldCharType="begin"/>
      </w:r>
      <w:r>
        <w:instrText xml:space="preserve"> PAGEREF _Toc31474 \h </w:instrText>
      </w:r>
      <w:r>
        <w:fldChar w:fldCharType="separate"/>
      </w:r>
      <w:r>
        <w:t>26</w:t>
      </w:r>
      <w:r>
        <w:fldChar w:fldCharType="end"/>
      </w:r>
      <w:r>
        <w:fldChar w:fldCharType="end"/>
      </w:r>
    </w:p>
    <w:p w14:paraId="692FD493">
      <w:pPr>
        <w:pStyle w:val="29"/>
        <w:tabs>
          <w:tab w:val="right" w:leader="dot" w:pos="9362"/>
        </w:tabs>
      </w:pPr>
      <w:r>
        <w:fldChar w:fldCharType="begin"/>
      </w:r>
      <w:r>
        <w:instrText xml:space="preserve"> HYPERLINK \l _Toc2874 </w:instrText>
      </w:r>
      <w:r>
        <w:fldChar w:fldCharType="separate"/>
      </w:r>
      <w:r>
        <w:t>11.3 前端源程序对应关系</w:t>
      </w:r>
      <w:r>
        <w:tab/>
      </w:r>
      <w:r>
        <w:fldChar w:fldCharType="begin"/>
      </w:r>
      <w:r>
        <w:instrText xml:space="preserve"> PAGEREF _Toc2874 \h </w:instrText>
      </w:r>
      <w:r>
        <w:fldChar w:fldCharType="separate"/>
      </w:r>
      <w:r>
        <w:t>26</w:t>
      </w:r>
      <w:r>
        <w:fldChar w:fldCharType="end"/>
      </w:r>
      <w:r>
        <w:fldChar w:fldCharType="end"/>
      </w:r>
    </w:p>
    <w:p w14:paraId="506C8363">
      <w:pPr>
        <w:pStyle w:val="29"/>
        <w:tabs>
          <w:tab w:val="right" w:leader="dot" w:pos="9362"/>
        </w:tabs>
      </w:pPr>
      <w:r>
        <w:fldChar w:fldCharType="begin"/>
      </w:r>
      <w:r>
        <w:instrText xml:space="preserve"> HYPERLINK \l _Toc27309 </w:instrText>
      </w:r>
      <w:r>
        <w:fldChar w:fldCharType="separate"/>
      </w:r>
      <w:r>
        <w:t>11.4 后端源程序对应关系</w:t>
      </w:r>
      <w:r>
        <w:tab/>
      </w:r>
      <w:r>
        <w:fldChar w:fldCharType="begin"/>
      </w:r>
      <w:r>
        <w:instrText xml:space="preserve"> PAGEREF _Toc27309 \h </w:instrText>
      </w:r>
      <w:r>
        <w:fldChar w:fldCharType="separate"/>
      </w:r>
      <w:r>
        <w:t>27</w:t>
      </w:r>
      <w:r>
        <w:fldChar w:fldCharType="end"/>
      </w:r>
      <w:r>
        <w:fldChar w:fldCharType="end"/>
      </w:r>
    </w:p>
    <w:p w14:paraId="7DE46089">
      <w:pPr>
        <w:pStyle w:val="26"/>
        <w:tabs>
          <w:tab w:val="right" w:leader="dot" w:pos="9362"/>
        </w:tabs>
      </w:pPr>
      <w:r>
        <w:fldChar w:fldCharType="begin"/>
      </w:r>
      <w:r>
        <w:instrText xml:space="preserve"> HYPERLINK \l _Toc32674 </w:instrText>
      </w:r>
      <w:r>
        <w:fldChar w:fldCharType="separate"/>
      </w:r>
      <w:r>
        <w:t>12 数据校验、异常处理与安全性</w:t>
      </w:r>
      <w:r>
        <w:tab/>
      </w:r>
      <w:r>
        <w:fldChar w:fldCharType="begin"/>
      </w:r>
      <w:r>
        <w:instrText xml:space="preserve"> PAGEREF _Toc32674 \h </w:instrText>
      </w:r>
      <w:r>
        <w:fldChar w:fldCharType="separate"/>
      </w:r>
      <w:r>
        <w:t>28</w:t>
      </w:r>
      <w:r>
        <w:fldChar w:fldCharType="end"/>
      </w:r>
      <w:r>
        <w:fldChar w:fldCharType="end"/>
      </w:r>
    </w:p>
    <w:p w14:paraId="678F4132">
      <w:pPr>
        <w:pStyle w:val="29"/>
        <w:tabs>
          <w:tab w:val="right" w:leader="dot" w:pos="9362"/>
        </w:tabs>
      </w:pPr>
      <w:r>
        <w:fldChar w:fldCharType="begin"/>
      </w:r>
      <w:r>
        <w:instrText xml:space="preserve"> HYPERLINK \l _Toc14920 </w:instrText>
      </w:r>
      <w:r>
        <w:fldChar w:fldCharType="separate"/>
      </w:r>
      <w:r>
        <w:t>12.1 输入校验</w:t>
      </w:r>
      <w:r>
        <w:tab/>
      </w:r>
      <w:r>
        <w:fldChar w:fldCharType="begin"/>
      </w:r>
      <w:r>
        <w:instrText xml:space="preserve"> PAGEREF _Toc14920 \h </w:instrText>
      </w:r>
      <w:r>
        <w:fldChar w:fldCharType="separate"/>
      </w:r>
      <w:r>
        <w:t>28</w:t>
      </w:r>
      <w:r>
        <w:fldChar w:fldCharType="end"/>
      </w:r>
      <w:r>
        <w:fldChar w:fldCharType="end"/>
      </w:r>
    </w:p>
    <w:p w14:paraId="437CEEBA">
      <w:pPr>
        <w:pStyle w:val="29"/>
        <w:tabs>
          <w:tab w:val="right" w:leader="dot" w:pos="9362"/>
        </w:tabs>
      </w:pPr>
      <w:r>
        <w:fldChar w:fldCharType="begin"/>
      </w:r>
      <w:r>
        <w:instrText xml:space="preserve"> HYPERLINK \l _Toc9078 </w:instrText>
      </w:r>
      <w:r>
        <w:fldChar w:fldCharType="separate"/>
      </w:r>
      <w:r>
        <w:t>12.2 流程结构校验</w:t>
      </w:r>
      <w:r>
        <w:tab/>
      </w:r>
      <w:r>
        <w:fldChar w:fldCharType="begin"/>
      </w:r>
      <w:r>
        <w:instrText xml:space="preserve"> PAGEREF _Toc9078 \h </w:instrText>
      </w:r>
      <w:r>
        <w:fldChar w:fldCharType="separate"/>
      </w:r>
      <w:r>
        <w:t>28</w:t>
      </w:r>
      <w:r>
        <w:fldChar w:fldCharType="end"/>
      </w:r>
      <w:r>
        <w:fldChar w:fldCharType="end"/>
      </w:r>
    </w:p>
    <w:p w14:paraId="43098BF3">
      <w:pPr>
        <w:pStyle w:val="29"/>
        <w:tabs>
          <w:tab w:val="right" w:leader="dot" w:pos="9362"/>
        </w:tabs>
      </w:pPr>
      <w:r>
        <w:fldChar w:fldCharType="begin"/>
      </w:r>
      <w:r>
        <w:instrText xml:space="preserve"> HYPERLINK \l _Toc19325 </w:instrText>
      </w:r>
      <w:r>
        <w:fldChar w:fldCharType="separate"/>
      </w:r>
      <w:r>
        <w:t>12.3 运行异常处理</w:t>
      </w:r>
      <w:r>
        <w:tab/>
      </w:r>
      <w:r>
        <w:fldChar w:fldCharType="begin"/>
      </w:r>
      <w:r>
        <w:instrText xml:space="preserve"> PAGEREF _Toc19325 \h </w:instrText>
      </w:r>
      <w:r>
        <w:fldChar w:fldCharType="separate"/>
      </w:r>
      <w:r>
        <w:t>28</w:t>
      </w:r>
      <w:r>
        <w:fldChar w:fldCharType="end"/>
      </w:r>
      <w:r>
        <w:fldChar w:fldCharType="end"/>
      </w:r>
    </w:p>
    <w:p w14:paraId="78067D9D">
      <w:pPr>
        <w:pStyle w:val="29"/>
        <w:tabs>
          <w:tab w:val="right" w:leader="dot" w:pos="9362"/>
        </w:tabs>
      </w:pPr>
      <w:r>
        <w:fldChar w:fldCharType="begin"/>
      </w:r>
      <w:r>
        <w:instrText xml:space="preserve"> HYPERLINK \l _Toc23520 </w:instrText>
      </w:r>
      <w:r>
        <w:fldChar w:fldCharType="separate"/>
      </w:r>
      <w:r>
        <w:t>12.4 数据安全与部署边界</w:t>
      </w:r>
      <w:r>
        <w:tab/>
      </w:r>
      <w:r>
        <w:fldChar w:fldCharType="begin"/>
      </w:r>
      <w:r>
        <w:instrText xml:space="preserve"> PAGEREF _Toc23520 \h </w:instrText>
      </w:r>
      <w:r>
        <w:fldChar w:fldCharType="separate"/>
      </w:r>
      <w:r>
        <w:t>28</w:t>
      </w:r>
      <w:r>
        <w:fldChar w:fldCharType="end"/>
      </w:r>
      <w:r>
        <w:fldChar w:fldCharType="end"/>
      </w:r>
    </w:p>
    <w:p w14:paraId="35C8D358">
      <w:pPr>
        <w:pStyle w:val="26"/>
        <w:tabs>
          <w:tab w:val="right" w:leader="dot" w:pos="9362"/>
        </w:tabs>
      </w:pPr>
      <w:r>
        <w:fldChar w:fldCharType="begin"/>
      </w:r>
      <w:r>
        <w:instrText xml:space="preserve"> HYPERLINK \l _Toc14274 </w:instrText>
      </w:r>
      <w:r>
        <w:fldChar w:fldCharType="separate"/>
      </w:r>
      <w:r>
        <w:t>13 完整操作实例</w:t>
      </w:r>
      <w:r>
        <w:tab/>
      </w:r>
      <w:r>
        <w:fldChar w:fldCharType="begin"/>
      </w:r>
      <w:r>
        <w:instrText xml:space="preserve"> PAGEREF _Toc14274 \h </w:instrText>
      </w:r>
      <w:r>
        <w:fldChar w:fldCharType="separate"/>
      </w:r>
      <w:r>
        <w:t>29</w:t>
      </w:r>
      <w:r>
        <w:fldChar w:fldCharType="end"/>
      </w:r>
      <w:r>
        <w:fldChar w:fldCharType="end"/>
      </w:r>
    </w:p>
    <w:p w14:paraId="787DEFD4">
      <w:pPr>
        <w:pStyle w:val="29"/>
        <w:tabs>
          <w:tab w:val="right" w:leader="dot" w:pos="9362"/>
        </w:tabs>
      </w:pPr>
      <w:r>
        <w:fldChar w:fldCharType="begin"/>
      </w:r>
      <w:r>
        <w:instrText xml:space="preserve"> HYPERLINK \l _Toc18857 </w:instrText>
      </w:r>
      <w:r>
        <w:fldChar w:fldCharType="separate"/>
      </w:r>
      <w:r>
        <w:t>13.1 实例目的与数据规模</w:t>
      </w:r>
      <w:r>
        <w:tab/>
      </w:r>
      <w:r>
        <w:fldChar w:fldCharType="begin"/>
      </w:r>
      <w:r>
        <w:instrText xml:space="preserve"> PAGEREF _Toc18857 \h </w:instrText>
      </w:r>
      <w:r>
        <w:fldChar w:fldCharType="separate"/>
      </w:r>
      <w:r>
        <w:t>29</w:t>
      </w:r>
      <w:r>
        <w:fldChar w:fldCharType="end"/>
      </w:r>
      <w:r>
        <w:fldChar w:fldCharType="end"/>
      </w:r>
    </w:p>
    <w:p w14:paraId="26C22927">
      <w:pPr>
        <w:pStyle w:val="29"/>
        <w:tabs>
          <w:tab w:val="right" w:leader="dot" w:pos="9362"/>
        </w:tabs>
      </w:pPr>
      <w:r>
        <w:fldChar w:fldCharType="begin"/>
      </w:r>
      <w:r>
        <w:instrText xml:space="preserve"> HYPERLINK \l _Toc32059 </w:instrText>
      </w:r>
      <w:r>
        <w:fldChar w:fldCharType="separate"/>
      </w:r>
      <w:r>
        <w:t>13.2 操作步骤</w:t>
      </w:r>
      <w:r>
        <w:tab/>
      </w:r>
      <w:r>
        <w:fldChar w:fldCharType="begin"/>
      </w:r>
      <w:r>
        <w:instrText xml:space="preserve"> PAGEREF _Toc32059 \h </w:instrText>
      </w:r>
      <w:r>
        <w:fldChar w:fldCharType="separate"/>
      </w:r>
      <w:r>
        <w:t>29</w:t>
      </w:r>
      <w:r>
        <w:fldChar w:fldCharType="end"/>
      </w:r>
      <w:r>
        <w:fldChar w:fldCharType="end"/>
      </w:r>
    </w:p>
    <w:p w14:paraId="111E4A12">
      <w:pPr>
        <w:pStyle w:val="29"/>
        <w:tabs>
          <w:tab w:val="right" w:leader="dot" w:pos="9362"/>
        </w:tabs>
      </w:pPr>
      <w:r>
        <w:fldChar w:fldCharType="begin"/>
      </w:r>
      <w:r>
        <w:instrText xml:space="preserve"> HYPERLINK \l _Toc22754 </w:instrText>
      </w:r>
      <w:r>
        <w:fldChar w:fldCharType="separate"/>
      </w:r>
      <w:r>
        <w:t>13.3 实例结果解读</w:t>
      </w:r>
      <w:r>
        <w:tab/>
      </w:r>
      <w:r>
        <w:fldChar w:fldCharType="begin"/>
      </w:r>
      <w:r>
        <w:instrText xml:space="preserve"> PAGEREF _Toc22754 \h </w:instrText>
      </w:r>
      <w:r>
        <w:fldChar w:fldCharType="separate"/>
      </w:r>
      <w:r>
        <w:t>29</w:t>
      </w:r>
      <w:r>
        <w:fldChar w:fldCharType="end"/>
      </w:r>
      <w:r>
        <w:fldChar w:fldCharType="end"/>
      </w:r>
    </w:p>
    <w:p w14:paraId="3BAB4999">
      <w:pPr>
        <w:pStyle w:val="26"/>
        <w:tabs>
          <w:tab w:val="right" w:leader="dot" w:pos="9362"/>
        </w:tabs>
      </w:pPr>
      <w:r>
        <w:fldChar w:fldCharType="begin"/>
      </w:r>
      <w:r>
        <w:instrText xml:space="preserve"> HYPERLINK \l _Toc3144 </w:instrText>
      </w:r>
      <w:r>
        <w:fldChar w:fldCharType="separate"/>
      </w:r>
      <w:r>
        <w:t>14 功能证据与申请表对应表</w:t>
      </w:r>
      <w:r>
        <w:tab/>
      </w:r>
      <w:r>
        <w:fldChar w:fldCharType="begin"/>
      </w:r>
      <w:r>
        <w:instrText xml:space="preserve"> PAGEREF _Toc3144 \h </w:instrText>
      </w:r>
      <w:r>
        <w:fldChar w:fldCharType="separate"/>
      </w:r>
      <w:r>
        <w:t>31</w:t>
      </w:r>
      <w:r>
        <w:fldChar w:fldCharType="end"/>
      </w:r>
      <w:r>
        <w:fldChar w:fldCharType="end"/>
      </w:r>
    </w:p>
    <w:p w14:paraId="34727C52">
      <w:pPr>
        <w:pStyle w:val="29"/>
        <w:tabs>
          <w:tab w:val="right" w:leader="dot" w:pos="9362"/>
        </w:tabs>
      </w:pPr>
      <w:r>
        <w:fldChar w:fldCharType="begin"/>
      </w:r>
      <w:r>
        <w:instrText xml:space="preserve"> HYPERLINK \l _Toc25263 </w:instrText>
      </w:r>
      <w:r>
        <w:fldChar w:fldCharType="separate"/>
      </w:r>
      <w:r>
        <w:t>14.1 文档鉴别材料自检</w:t>
      </w:r>
      <w:r>
        <w:tab/>
      </w:r>
      <w:r>
        <w:fldChar w:fldCharType="begin"/>
      </w:r>
      <w:r>
        <w:instrText xml:space="preserve"> PAGEREF _Toc25263 \h </w:instrText>
      </w:r>
      <w:r>
        <w:fldChar w:fldCharType="separate"/>
      </w:r>
      <w:r>
        <w:t>31</w:t>
      </w:r>
      <w:r>
        <w:fldChar w:fldCharType="end"/>
      </w:r>
      <w:r>
        <w:fldChar w:fldCharType="end"/>
      </w:r>
    </w:p>
    <w:p w14:paraId="57A7F9C4">
      <w:pPr>
        <w:pStyle w:val="29"/>
        <w:tabs>
          <w:tab w:val="right" w:leader="dot" w:pos="9362"/>
        </w:tabs>
      </w:pPr>
      <w:r>
        <w:fldChar w:fldCharType="begin"/>
      </w:r>
      <w:r>
        <w:instrText xml:space="preserve"> HYPERLINK \l _Toc674 </w:instrText>
      </w:r>
      <w:r>
        <w:fldChar w:fldCharType="separate"/>
      </w:r>
      <w:r>
        <w:t>14.2 术语和缩写</w:t>
      </w:r>
      <w:r>
        <w:tab/>
      </w:r>
      <w:r>
        <w:fldChar w:fldCharType="begin"/>
      </w:r>
      <w:r>
        <w:instrText xml:space="preserve"> PAGEREF _Toc674 \h </w:instrText>
      </w:r>
      <w:r>
        <w:fldChar w:fldCharType="separate"/>
      </w:r>
      <w:r>
        <w:t>32</w:t>
      </w:r>
      <w:r>
        <w:fldChar w:fldCharType="end"/>
      </w:r>
      <w:r>
        <w:fldChar w:fldCharType="end"/>
      </w:r>
    </w:p>
    <w:p w14:paraId="5654B77C">
      <w:pPr>
        <w:pStyle w:val="29"/>
        <w:tabs>
          <w:tab w:val="right" w:leader="dot" w:pos="9362"/>
        </w:tabs>
      </w:pPr>
      <w:r>
        <w:fldChar w:fldCharType="begin"/>
      </w:r>
      <w:r>
        <w:instrText xml:space="preserve"> HYPERLINK \l _Toc6790 </w:instrText>
      </w:r>
      <w:r>
        <w:fldChar w:fldCharType="separate"/>
      </w:r>
      <w:r>
        <w:t>14.3 提交前人工确认</w:t>
      </w:r>
      <w:r>
        <w:tab/>
      </w:r>
      <w:r>
        <w:fldChar w:fldCharType="begin"/>
      </w:r>
      <w:r>
        <w:instrText xml:space="preserve"> PAGEREF _Toc6790 \h </w:instrText>
      </w:r>
      <w:r>
        <w:fldChar w:fldCharType="separate"/>
      </w:r>
      <w:r>
        <w:t>32</w:t>
      </w:r>
      <w:r>
        <w:fldChar w:fldCharType="end"/>
      </w:r>
      <w:r>
        <w:fldChar w:fldCharType="end"/>
      </w:r>
    </w:p>
    <w:p w14:paraId="661AA02F">
      <w:pPr>
        <w:spacing w:line="312" w:lineRule="auto"/>
      </w:pPr>
      <w:r>
        <w:fldChar w:fldCharType="end"/>
      </w:r>
    </w:p>
    <w:p w14:paraId="3ED72C97">
      <w:pPr>
        <w:pStyle w:val="3"/>
        <w:keepNext/>
        <w:keepLines/>
      </w:pPr>
      <w:bookmarkStart w:id="3" w:name="_Toc20254"/>
      <w:r>
        <w:t>1 软件概述</w:t>
      </w:r>
      <w:bookmarkEnd w:id="3"/>
    </w:p>
    <w:p w14:paraId="3C5E999D">
      <w:pPr>
        <w:pStyle w:val="4"/>
        <w:keepNext/>
        <w:keepLines/>
      </w:pPr>
      <w:bookmarkStart w:id="4" w:name="_Toc16976"/>
      <w:r>
        <w:t>1.1 软件定位</w:t>
      </w:r>
      <w:bookmarkEnd w:id="4"/>
    </w:p>
    <w:p w14:paraId="7C72D91F">
      <w:pPr>
        <w:spacing w:after="80" w:line="324" w:lineRule="auto"/>
        <w:ind w:firstLine="420"/>
      </w:pPr>
      <w:r>
        <w:rPr>
          <w:rFonts w:ascii="微软雅黑" w:hAnsi="微软雅黑" w:eastAsia="微软雅黑"/>
          <w:sz w:val="22"/>
        </w:rPr>
        <w:t>本软件是一款专门面向离散制造车间的数字化航空发动机装配排产仿真系统。软件以航空发动机复杂装配工艺为对象，将装配步骤、工艺依赖、工人、关键设备、工位、质量返工和人因疲劳规则统一建模，通过离散事件仿真计算不同生产组织方案下的产量、周期、资源利用率和瓶颈分布，为生产计划验证、人员配置、设备能力评估和工艺改进提供量化依据。</w:t>
      </w:r>
    </w:p>
    <w:p w14:paraId="06CC6CEB">
      <w:pPr>
        <w:spacing w:after="80" w:line="324" w:lineRule="auto"/>
        <w:ind w:firstLine="420"/>
      </w:pPr>
      <w:r>
        <w:rPr>
          <w:rFonts w:ascii="微软雅黑" w:hAnsi="微软雅黑" w:eastAsia="微软雅黑"/>
          <w:sz w:val="22"/>
        </w:rPr>
        <w:t>软件采用浏览器/服务器（B/S）架构。用户在浏览器中完成流程编辑、参数设置、仿真运行和结果分析；后端接收结构化工艺与配置数据，运行 SimPy 离散事件仿真引擎和 DAG 调度算法，并将结果以 JSON 数据返回前端进行可视化展示。</w:t>
      </w:r>
    </w:p>
    <w:p w14:paraId="3BF097CC">
      <w:pPr>
        <w:pStyle w:val="4"/>
        <w:keepNext/>
        <w:keepLines/>
      </w:pPr>
      <w:bookmarkStart w:id="5" w:name="_Toc30859"/>
      <w:r>
        <w:t>1.2 五大核心功能模块</w:t>
      </w:r>
      <w:bookmarkEnd w:id="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C6E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00" w:type="dxa"/>
            <w:shd w:val="clear" w:color="auto" w:fill="17324D"/>
            <w:tcMar>
              <w:top w:w="90" w:type="dxa"/>
              <w:left w:w="90" w:type="dxa"/>
              <w:bottom w:w="90" w:type="dxa"/>
              <w:right w:w="90" w:type="dxa"/>
            </w:tcMar>
            <w:vAlign w:val="center"/>
          </w:tcPr>
          <w:p w14:paraId="3BDB4CC2">
            <w:pPr>
              <w:spacing w:after="0"/>
              <w:jc w:val="center"/>
            </w:pPr>
            <w:r>
              <w:rPr>
                <w:rFonts w:ascii="微软雅黑" w:hAnsi="微软雅黑" w:eastAsia="微软雅黑"/>
                <w:b/>
                <w:color w:val="FFFFFF"/>
                <w:sz w:val="17"/>
              </w:rPr>
              <w:t>序号</w:t>
            </w:r>
          </w:p>
        </w:tc>
        <w:tc>
          <w:tcPr>
            <w:tcW w:w="1800" w:type="dxa"/>
            <w:shd w:val="clear" w:color="auto" w:fill="17324D"/>
            <w:tcMar>
              <w:top w:w="90" w:type="dxa"/>
              <w:left w:w="90" w:type="dxa"/>
              <w:bottom w:w="90" w:type="dxa"/>
              <w:right w:w="90" w:type="dxa"/>
            </w:tcMar>
            <w:vAlign w:val="center"/>
          </w:tcPr>
          <w:p w14:paraId="2D23DED0">
            <w:pPr>
              <w:spacing w:after="0"/>
              <w:jc w:val="center"/>
            </w:pPr>
            <w:r>
              <w:rPr>
                <w:rFonts w:ascii="微软雅黑" w:hAnsi="微软雅黑" w:eastAsia="微软雅黑"/>
                <w:b/>
                <w:color w:val="FFFFFF"/>
                <w:sz w:val="17"/>
              </w:rPr>
              <w:t>功能模块</w:t>
            </w:r>
          </w:p>
        </w:tc>
        <w:tc>
          <w:tcPr>
            <w:tcW w:w="4500" w:type="dxa"/>
            <w:shd w:val="clear" w:color="auto" w:fill="17324D"/>
            <w:tcMar>
              <w:top w:w="90" w:type="dxa"/>
              <w:left w:w="90" w:type="dxa"/>
              <w:bottom w:w="90" w:type="dxa"/>
              <w:right w:w="90" w:type="dxa"/>
            </w:tcMar>
            <w:vAlign w:val="center"/>
          </w:tcPr>
          <w:p w14:paraId="0B224E3A">
            <w:pPr>
              <w:spacing w:after="0"/>
              <w:jc w:val="center"/>
            </w:pPr>
            <w:r>
              <w:rPr>
                <w:rFonts w:ascii="微软雅黑" w:hAnsi="微软雅黑" w:eastAsia="微软雅黑"/>
                <w:b/>
                <w:color w:val="FFFFFF"/>
                <w:sz w:val="17"/>
              </w:rPr>
              <w:t>主要能力</w:t>
            </w:r>
          </w:p>
        </w:tc>
        <w:tc>
          <w:tcPr>
            <w:tcW w:w="2460" w:type="dxa"/>
            <w:shd w:val="clear" w:color="auto" w:fill="17324D"/>
            <w:tcMar>
              <w:top w:w="90" w:type="dxa"/>
              <w:left w:w="90" w:type="dxa"/>
              <w:bottom w:w="90" w:type="dxa"/>
              <w:right w:w="90" w:type="dxa"/>
            </w:tcMar>
            <w:vAlign w:val="center"/>
          </w:tcPr>
          <w:p w14:paraId="4D42A51F">
            <w:pPr>
              <w:spacing w:after="0"/>
              <w:jc w:val="center"/>
            </w:pPr>
            <w:r>
              <w:rPr>
                <w:rFonts w:ascii="微软雅黑" w:hAnsi="微软雅黑" w:eastAsia="微软雅黑"/>
                <w:b/>
                <w:color w:val="FFFFFF"/>
                <w:sz w:val="17"/>
              </w:rPr>
              <w:t>主要输出</w:t>
            </w:r>
          </w:p>
        </w:tc>
      </w:tr>
      <w:tr w14:paraId="2263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Mar>
              <w:top w:w="90" w:type="dxa"/>
              <w:left w:w="90" w:type="dxa"/>
              <w:bottom w:w="90" w:type="dxa"/>
              <w:right w:w="90" w:type="dxa"/>
            </w:tcMar>
            <w:vAlign w:val="center"/>
          </w:tcPr>
          <w:p w14:paraId="5386B879">
            <w:pPr>
              <w:spacing w:after="0" w:line="276" w:lineRule="auto"/>
            </w:pPr>
            <w:r>
              <w:rPr>
                <w:rFonts w:ascii="微软雅黑" w:hAnsi="微软雅黑" w:eastAsia="微软雅黑"/>
                <w:color w:val="243041"/>
                <w:sz w:val="17"/>
              </w:rPr>
              <w:t>1</w:t>
            </w:r>
          </w:p>
        </w:tc>
        <w:tc>
          <w:tcPr>
            <w:tcW w:w="1800" w:type="dxa"/>
            <w:tcMar>
              <w:top w:w="90" w:type="dxa"/>
              <w:left w:w="90" w:type="dxa"/>
              <w:bottom w:w="90" w:type="dxa"/>
              <w:right w:w="90" w:type="dxa"/>
            </w:tcMar>
            <w:vAlign w:val="center"/>
          </w:tcPr>
          <w:p w14:paraId="1EAC6C2D">
            <w:pPr>
              <w:spacing w:after="0" w:line="276" w:lineRule="auto"/>
            </w:pPr>
            <w:r>
              <w:rPr>
                <w:rFonts w:ascii="微软雅黑" w:hAnsi="微软雅黑" w:eastAsia="微软雅黑"/>
                <w:color w:val="243041"/>
                <w:sz w:val="17"/>
              </w:rPr>
              <w:t>可视化流程编辑</w:t>
            </w:r>
          </w:p>
        </w:tc>
        <w:tc>
          <w:tcPr>
            <w:tcW w:w="4500" w:type="dxa"/>
            <w:tcMar>
              <w:top w:w="90" w:type="dxa"/>
              <w:left w:w="90" w:type="dxa"/>
              <w:bottom w:w="90" w:type="dxa"/>
              <w:right w:w="90" w:type="dxa"/>
            </w:tcMar>
            <w:vAlign w:val="center"/>
          </w:tcPr>
          <w:p w14:paraId="68B825C1">
            <w:pPr>
              <w:spacing w:after="0" w:line="276" w:lineRule="auto"/>
            </w:pPr>
            <w:r>
              <w:rPr>
                <w:rFonts w:ascii="微软雅黑" w:hAnsi="微软雅黑" w:eastAsia="微软雅黑"/>
                <w:color w:val="243041"/>
                <w:sz w:val="17"/>
              </w:rPr>
              <w:t>HTML5 Canvas 拖拽建模、节点属性编辑、右键拖拽连线、自动布局、工位视图、CSV 导入导出</w:t>
            </w:r>
          </w:p>
        </w:tc>
        <w:tc>
          <w:tcPr>
            <w:tcW w:w="2460" w:type="dxa"/>
            <w:tcMar>
              <w:top w:w="90" w:type="dxa"/>
              <w:left w:w="90" w:type="dxa"/>
              <w:bottom w:w="90" w:type="dxa"/>
              <w:right w:w="90" w:type="dxa"/>
            </w:tcMar>
            <w:vAlign w:val="center"/>
          </w:tcPr>
          <w:p w14:paraId="6A23ABEE">
            <w:pPr>
              <w:spacing w:after="0" w:line="276" w:lineRule="auto"/>
            </w:pPr>
            <w:r>
              <w:rPr>
                <w:rFonts w:ascii="微软雅黑" w:hAnsi="微软雅黑" w:eastAsia="微软雅黑"/>
                <w:color w:val="243041"/>
                <w:sz w:val="17"/>
              </w:rPr>
              <w:t>工艺节点、依赖边、工位归属和流程定义</w:t>
            </w:r>
          </w:p>
        </w:tc>
      </w:tr>
      <w:tr w14:paraId="2F02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shd w:val="clear" w:color="auto" w:fill="F8FAFC"/>
            <w:tcMar>
              <w:top w:w="90" w:type="dxa"/>
              <w:left w:w="90" w:type="dxa"/>
              <w:bottom w:w="90" w:type="dxa"/>
              <w:right w:w="90" w:type="dxa"/>
            </w:tcMar>
            <w:vAlign w:val="center"/>
          </w:tcPr>
          <w:p w14:paraId="5364FBDA">
            <w:pPr>
              <w:spacing w:after="0" w:line="276" w:lineRule="auto"/>
            </w:pPr>
            <w:r>
              <w:rPr>
                <w:rFonts w:ascii="微软雅黑" w:hAnsi="微软雅黑" w:eastAsia="微软雅黑"/>
                <w:color w:val="243041"/>
                <w:sz w:val="17"/>
              </w:rPr>
              <w:t>2</w:t>
            </w:r>
          </w:p>
        </w:tc>
        <w:tc>
          <w:tcPr>
            <w:tcW w:w="1800" w:type="dxa"/>
            <w:shd w:val="clear" w:color="auto" w:fill="F8FAFC"/>
            <w:tcMar>
              <w:top w:w="90" w:type="dxa"/>
              <w:left w:w="90" w:type="dxa"/>
              <w:bottom w:w="90" w:type="dxa"/>
              <w:right w:w="90" w:type="dxa"/>
            </w:tcMar>
            <w:vAlign w:val="center"/>
          </w:tcPr>
          <w:p w14:paraId="41C429C8">
            <w:pPr>
              <w:spacing w:after="0" w:line="276" w:lineRule="auto"/>
            </w:pPr>
            <w:r>
              <w:rPr>
                <w:rFonts w:ascii="微软雅黑" w:hAnsi="微软雅黑" w:eastAsia="微软雅黑"/>
                <w:color w:val="243041"/>
                <w:sz w:val="17"/>
              </w:rPr>
              <w:t>全局参数配置</w:t>
            </w:r>
          </w:p>
        </w:tc>
        <w:tc>
          <w:tcPr>
            <w:tcW w:w="4500" w:type="dxa"/>
            <w:shd w:val="clear" w:color="auto" w:fill="F8FAFC"/>
            <w:tcMar>
              <w:top w:w="90" w:type="dxa"/>
              <w:left w:w="90" w:type="dxa"/>
              <w:bottom w:w="90" w:type="dxa"/>
              <w:right w:w="90" w:type="dxa"/>
            </w:tcMar>
            <w:vAlign w:val="center"/>
          </w:tcPr>
          <w:p w14:paraId="4D450EB4">
            <w:pPr>
              <w:spacing w:after="0" w:line="276" w:lineRule="auto"/>
            </w:pPr>
            <w:r>
              <w:rPr>
                <w:rFonts w:ascii="微软雅黑" w:hAnsi="微软雅黑" w:eastAsia="微软雅黑"/>
                <w:color w:val="243041"/>
                <w:sz w:val="17"/>
              </w:rPr>
              <w:t>排班、人员、目标产量、关键设备容量、流水线/工位约束、人因休息规则</w:t>
            </w:r>
          </w:p>
        </w:tc>
        <w:tc>
          <w:tcPr>
            <w:tcW w:w="2460" w:type="dxa"/>
            <w:shd w:val="clear" w:color="auto" w:fill="F8FAFC"/>
            <w:tcMar>
              <w:top w:w="90" w:type="dxa"/>
              <w:left w:w="90" w:type="dxa"/>
              <w:bottom w:w="90" w:type="dxa"/>
              <w:right w:w="90" w:type="dxa"/>
            </w:tcMar>
            <w:vAlign w:val="center"/>
          </w:tcPr>
          <w:p w14:paraId="7EAF588E">
            <w:pPr>
              <w:spacing w:after="0" w:line="276" w:lineRule="auto"/>
            </w:pPr>
            <w:r>
              <w:rPr>
                <w:rFonts w:ascii="微软雅黑" w:hAnsi="微软雅黑" w:eastAsia="微软雅黑"/>
                <w:color w:val="243041"/>
                <w:sz w:val="17"/>
              </w:rPr>
              <w:t>全局仿真配置对象</w:t>
            </w:r>
          </w:p>
        </w:tc>
      </w:tr>
      <w:tr w14:paraId="4E1D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Mar>
              <w:top w:w="90" w:type="dxa"/>
              <w:left w:w="90" w:type="dxa"/>
              <w:bottom w:w="90" w:type="dxa"/>
              <w:right w:w="90" w:type="dxa"/>
            </w:tcMar>
            <w:vAlign w:val="center"/>
          </w:tcPr>
          <w:p w14:paraId="1324D285">
            <w:pPr>
              <w:spacing w:after="0" w:line="276" w:lineRule="auto"/>
            </w:pPr>
            <w:r>
              <w:rPr>
                <w:rFonts w:ascii="微软雅黑" w:hAnsi="微软雅黑" w:eastAsia="微软雅黑"/>
                <w:color w:val="243041"/>
                <w:sz w:val="17"/>
              </w:rPr>
              <w:t>3</w:t>
            </w:r>
          </w:p>
        </w:tc>
        <w:tc>
          <w:tcPr>
            <w:tcW w:w="1800" w:type="dxa"/>
            <w:tcMar>
              <w:top w:w="90" w:type="dxa"/>
              <w:left w:w="90" w:type="dxa"/>
              <w:bottom w:w="90" w:type="dxa"/>
              <w:right w:w="90" w:type="dxa"/>
            </w:tcMar>
            <w:vAlign w:val="center"/>
          </w:tcPr>
          <w:p w14:paraId="0C090C2C">
            <w:pPr>
              <w:spacing w:after="0" w:line="276" w:lineRule="auto"/>
            </w:pPr>
            <w:r>
              <w:rPr>
                <w:rFonts w:ascii="微软雅黑" w:hAnsi="微软雅黑" w:eastAsia="微软雅黑"/>
                <w:color w:val="243041"/>
                <w:sz w:val="17"/>
              </w:rPr>
              <w:t>离散事件仿真与调度</w:t>
            </w:r>
          </w:p>
        </w:tc>
        <w:tc>
          <w:tcPr>
            <w:tcW w:w="4500" w:type="dxa"/>
            <w:tcMar>
              <w:top w:w="90" w:type="dxa"/>
              <w:left w:w="90" w:type="dxa"/>
              <w:bottom w:w="90" w:type="dxa"/>
              <w:right w:w="90" w:type="dxa"/>
            </w:tcMar>
            <w:vAlign w:val="center"/>
          </w:tcPr>
          <w:p w14:paraId="49D2D357">
            <w:pPr>
              <w:spacing w:after="0" w:line="276" w:lineRule="auto"/>
            </w:pPr>
            <w:r>
              <w:rPr>
                <w:rFonts w:ascii="微软雅黑" w:hAnsi="微软雅黑" w:eastAsia="微软雅黑"/>
                <w:color w:val="243041"/>
                <w:sz w:val="17"/>
              </w:rPr>
              <w:t>SimPy 事件推进、DAG 就绪检测、资源争用、错峰投放、状态机、返工与工位串行约束</w:t>
            </w:r>
          </w:p>
        </w:tc>
        <w:tc>
          <w:tcPr>
            <w:tcW w:w="2460" w:type="dxa"/>
            <w:tcMar>
              <w:top w:w="90" w:type="dxa"/>
              <w:left w:w="90" w:type="dxa"/>
              <w:bottom w:w="90" w:type="dxa"/>
              <w:right w:w="90" w:type="dxa"/>
            </w:tcMar>
            <w:vAlign w:val="center"/>
          </w:tcPr>
          <w:p w14:paraId="6486121A">
            <w:pPr>
              <w:spacing w:after="0" w:line="276" w:lineRule="auto"/>
            </w:pPr>
            <w:r>
              <w:rPr>
                <w:rFonts w:ascii="微软雅黑" w:hAnsi="微软雅黑" w:eastAsia="微软雅黑"/>
                <w:color w:val="243041"/>
                <w:sz w:val="17"/>
              </w:rPr>
              <w:t>事件序列、发动机周期、资源占用和质量记录</w:t>
            </w:r>
          </w:p>
        </w:tc>
      </w:tr>
      <w:tr w14:paraId="1047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shd w:val="clear" w:color="auto" w:fill="F8FAFC"/>
            <w:tcMar>
              <w:top w:w="90" w:type="dxa"/>
              <w:left w:w="90" w:type="dxa"/>
              <w:bottom w:w="90" w:type="dxa"/>
              <w:right w:w="90" w:type="dxa"/>
            </w:tcMar>
            <w:vAlign w:val="center"/>
          </w:tcPr>
          <w:p w14:paraId="23F3CD38">
            <w:pPr>
              <w:spacing w:after="0" w:line="276" w:lineRule="auto"/>
            </w:pPr>
            <w:r>
              <w:rPr>
                <w:rFonts w:ascii="微软雅黑" w:hAnsi="微软雅黑" w:eastAsia="微软雅黑"/>
                <w:color w:val="243041"/>
                <w:sz w:val="17"/>
              </w:rPr>
              <w:t>4</w:t>
            </w:r>
          </w:p>
        </w:tc>
        <w:tc>
          <w:tcPr>
            <w:tcW w:w="1800" w:type="dxa"/>
            <w:shd w:val="clear" w:color="auto" w:fill="F8FAFC"/>
            <w:tcMar>
              <w:top w:w="90" w:type="dxa"/>
              <w:left w:w="90" w:type="dxa"/>
              <w:bottom w:w="90" w:type="dxa"/>
              <w:right w:w="90" w:type="dxa"/>
            </w:tcMar>
            <w:vAlign w:val="center"/>
          </w:tcPr>
          <w:p w14:paraId="0D3C18D3">
            <w:pPr>
              <w:spacing w:after="0" w:line="276" w:lineRule="auto"/>
            </w:pPr>
            <w:r>
              <w:rPr>
                <w:rFonts w:ascii="微软雅黑" w:hAnsi="微软雅黑" w:eastAsia="微软雅黑"/>
                <w:color w:val="243041"/>
                <w:sz w:val="17"/>
              </w:rPr>
              <w:t>人因工程疲劳评估</w:t>
            </w:r>
          </w:p>
        </w:tc>
        <w:tc>
          <w:tcPr>
            <w:tcW w:w="4500" w:type="dxa"/>
            <w:shd w:val="clear" w:color="auto" w:fill="F8FAFC"/>
            <w:tcMar>
              <w:top w:w="90" w:type="dxa"/>
              <w:left w:w="90" w:type="dxa"/>
              <w:bottom w:w="90" w:type="dxa"/>
              <w:right w:w="90" w:type="dxa"/>
            </w:tcMar>
            <w:vAlign w:val="center"/>
          </w:tcPr>
          <w:p w14:paraId="64BBF27F">
            <w:pPr>
              <w:spacing w:after="0" w:line="276" w:lineRule="auto"/>
            </w:pPr>
            <w:r>
              <w:rPr>
                <w:rFonts w:ascii="微软雅黑" w:hAnsi="微软雅黑" w:eastAsia="微软雅黑"/>
                <w:color w:val="243041"/>
                <w:sz w:val="17"/>
              </w:rPr>
              <w:t>连续工作阈值、REBA 负荷阈值、时间休息、微休息、疲劳演化和暴露统计</w:t>
            </w:r>
          </w:p>
        </w:tc>
        <w:tc>
          <w:tcPr>
            <w:tcW w:w="2460" w:type="dxa"/>
            <w:shd w:val="clear" w:color="auto" w:fill="F8FAFC"/>
            <w:tcMar>
              <w:top w:w="90" w:type="dxa"/>
              <w:left w:w="90" w:type="dxa"/>
              <w:bottom w:w="90" w:type="dxa"/>
              <w:right w:w="90" w:type="dxa"/>
            </w:tcMar>
            <w:vAlign w:val="center"/>
          </w:tcPr>
          <w:p w14:paraId="1EDC37BA">
            <w:pPr>
              <w:spacing w:after="0" w:line="276" w:lineRule="auto"/>
            </w:pPr>
            <w:r>
              <w:rPr>
                <w:rFonts w:ascii="微软雅黑" w:hAnsi="微软雅黑" w:eastAsia="微软雅黑"/>
                <w:color w:val="243041"/>
                <w:sz w:val="17"/>
              </w:rPr>
              <w:t>休息事件、疲劳曲线和高强度暴露指标</w:t>
            </w:r>
          </w:p>
        </w:tc>
      </w:tr>
      <w:tr w14:paraId="0209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00" w:type="dxa"/>
            <w:tcMar>
              <w:top w:w="90" w:type="dxa"/>
              <w:left w:w="90" w:type="dxa"/>
              <w:bottom w:w="90" w:type="dxa"/>
              <w:right w:w="90" w:type="dxa"/>
            </w:tcMar>
            <w:vAlign w:val="center"/>
          </w:tcPr>
          <w:p w14:paraId="59E7B5B1">
            <w:pPr>
              <w:spacing w:after="0" w:line="276" w:lineRule="auto"/>
            </w:pPr>
            <w:r>
              <w:rPr>
                <w:rFonts w:ascii="微软雅黑" w:hAnsi="微软雅黑" w:eastAsia="微软雅黑"/>
                <w:color w:val="243041"/>
                <w:sz w:val="17"/>
              </w:rPr>
              <w:t>5</w:t>
            </w:r>
          </w:p>
        </w:tc>
        <w:tc>
          <w:tcPr>
            <w:tcW w:w="1800" w:type="dxa"/>
            <w:tcMar>
              <w:top w:w="90" w:type="dxa"/>
              <w:left w:w="90" w:type="dxa"/>
              <w:bottom w:w="90" w:type="dxa"/>
              <w:right w:w="90" w:type="dxa"/>
            </w:tcMar>
            <w:vAlign w:val="center"/>
          </w:tcPr>
          <w:p w14:paraId="7BA93FE1">
            <w:pPr>
              <w:spacing w:after="0" w:line="276" w:lineRule="auto"/>
            </w:pPr>
            <w:r>
              <w:rPr>
                <w:rFonts w:ascii="微软雅黑" w:hAnsi="微软雅黑" w:eastAsia="微软雅黑"/>
                <w:color w:val="243041"/>
                <w:sz w:val="17"/>
              </w:rPr>
              <w:t>数据可视化与智能分析</w:t>
            </w:r>
          </w:p>
        </w:tc>
        <w:tc>
          <w:tcPr>
            <w:tcW w:w="4500" w:type="dxa"/>
            <w:tcMar>
              <w:top w:w="90" w:type="dxa"/>
              <w:left w:w="90" w:type="dxa"/>
              <w:bottom w:w="90" w:type="dxa"/>
              <w:right w:w="90" w:type="dxa"/>
            </w:tcMar>
            <w:vAlign w:val="center"/>
          </w:tcPr>
          <w:p w14:paraId="5C048AA5">
            <w:pPr>
              <w:spacing w:after="0" w:line="276" w:lineRule="auto"/>
            </w:pPr>
            <w:r>
              <w:rPr>
                <w:rFonts w:ascii="微软雅黑" w:hAnsi="微软雅黑" w:eastAsia="微软雅黑"/>
                <w:color w:val="243041"/>
                <w:sz w:val="17"/>
              </w:rPr>
              <w:t>KPI、对比分析、利用率、疲劳曲线、瓶颈建议、工位流转、甘特图、CSV/JSON 输出</w:t>
            </w:r>
          </w:p>
        </w:tc>
        <w:tc>
          <w:tcPr>
            <w:tcW w:w="2460" w:type="dxa"/>
            <w:tcMar>
              <w:top w:w="90" w:type="dxa"/>
              <w:left w:w="90" w:type="dxa"/>
              <w:bottom w:w="90" w:type="dxa"/>
              <w:right w:w="90" w:type="dxa"/>
            </w:tcMar>
            <w:vAlign w:val="center"/>
          </w:tcPr>
          <w:p w14:paraId="19F12737">
            <w:pPr>
              <w:spacing w:after="0" w:line="276" w:lineRule="auto"/>
            </w:pPr>
            <w:r>
              <w:rPr>
                <w:rFonts w:ascii="微软雅黑" w:hAnsi="微软雅黑" w:eastAsia="微软雅黑"/>
                <w:color w:val="243041"/>
                <w:sz w:val="17"/>
              </w:rPr>
              <w:t>图表、报表、瓶颈清单和导出文件</w:t>
            </w:r>
          </w:p>
        </w:tc>
      </w:tr>
    </w:tbl>
    <w:p w14:paraId="380FCE29">
      <w:pPr>
        <w:spacing w:after="0"/>
      </w:pPr>
    </w:p>
    <w:p w14:paraId="7022DA29">
      <w:pPr>
        <w:pStyle w:val="4"/>
        <w:keepNext/>
        <w:keepLines/>
      </w:pPr>
      <w:bookmarkStart w:id="6" w:name="_Toc4824"/>
      <w:r>
        <w:t>1.3 典型应用场景</w:t>
      </w:r>
      <w:bookmarkEnd w:id="6"/>
    </w:p>
    <w:p w14:paraId="3DBD4179">
      <w:pPr>
        <w:pStyle w:val="16"/>
        <w:spacing w:after="40" w:line="288" w:lineRule="auto"/>
        <w:ind w:left="312" w:hanging="142"/>
      </w:pPr>
      <w:r>
        <w:rPr>
          <w:rFonts w:ascii="微软雅黑" w:hAnsi="微软雅黑" w:eastAsia="微软雅黑"/>
          <w:sz w:val="21"/>
        </w:rPr>
        <w:t>在正式投产前验证某型航空发动机装配网络是否能够达到目标月产量。</w:t>
      </w:r>
    </w:p>
    <w:p w14:paraId="682FD3C2">
      <w:pPr>
        <w:pStyle w:val="16"/>
        <w:spacing w:after="40" w:line="288" w:lineRule="auto"/>
        <w:ind w:left="312" w:hanging="142"/>
      </w:pPr>
      <w:r>
        <w:rPr>
          <w:rFonts w:ascii="微软雅黑" w:hAnsi="微软雅黑" w:eastAsia="微软雅黑"/>
          <w:sz w:val="21"/>
        </w:rPr>
        <w:t>评估增加或减少工人、试车台、动平衡设备等资源对完工周期的影响。</w:t>
      </w:r>
    </w:p>
    <w:p w14:paraId="763CD5F7">
      <w:pPr>
        <w:pStyle w:val="16"/>
        <w:spacing w:after="40" w:line="288" w:lineRule="auto"/>
        <w:ind w:left="312" w:hanging="142"/>
      </w:pPr>
      <w:r>
        <w:rPr>
          <w:rFonts w:ascii="微软雅黑" w:hAnsi="微软雅黑" w:eastAsia="微软雅黑"/>
          <w:sz w:val="21"/>
        </w:rPr>
        <w:t>比较流水线并行投放、平滑错峰投放和工位强制串行等生产组织策略。</w:t>
      </w:r>
    </w:p>
    <w:p w14:paraId="017EC9A7">
      <w:pPr>
        <w:pStyle w:val="16"/>
        <w:spacing w:after="40" w:line="288" w:lineRule="auto"/>
        <w:ind w:left="312" w:hanging="142"/>
      </w:pPr>
      <w:r>
        <w:rPr>
          <w:rFonts w:ascii="微软雅黑" w:hAnsi="微软雅黑" w:eastAsia="微软雅黑"/>
          <w:sz w:val="21"/>
        </w:rPr>
        <w:t>识别等待时间最长的任务、利用率最高的资源和流转最频繁的工位路径。</w:t>
      </w:r>
    </w:p>
    <w:p w14:paraId="50C25CD0">
      <w:pPr>
        <w:pStyle w:val="16"/>
        <w:spacing w:after="40" w:line="288" w:lineRule="auto"/>
        <w:ind w:left="312" w:hanging="142"/>
      </w:pPr>
      <w:r>
        <w:rPr>
          <w:rFonts w:ascii="微软雅黑" w:hAnsi="微软雅黑" w:eastAsia="微软雅黑"/>
          <w:sz w:val="21"/>
        </w:rPr>
        <w:t>评估连续工作和高 REBA 负荷任务引起的休息干预及其产能损耗。</w:t>
      </w:r>
    </w:p>
    <w:p w14:paraId="536956F0">
      <w:pPr>
        <w:pStyle w:val="3"/>
        <w:keepNext/>
        <w:keepLines/>
      </w:pPr>
      <w:bookmarkStart w:id="7" w:name="_Toc1957"/>
      <w:r>
        <w:t>2 运行环境与系统启动</w:t>
      </w:r>
      <w:bookmarkEnd w:id="7"/>
    </w:p>
    <w:p w14:paraId="323074D6">
      <w:pPr>
        <w:pStyle w:val="4"/>
        <w:keepNext/>
        <w:keepLines/>
      </w:pPr>
      <w:bookmarkStart w:id="8" w:name="_Toc11794"/>
      <w:r>
        <w:t>2.1 运行环境</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81"/>
      </w:tblGrid>
      <w:tr w14:paraId="25EB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17324D"/>
            <w:tcMar>
              <w:top w:w="90" w:type="dxa"/>
              <w:left w:w="90" w:type="dxa"/>
              <w:bottom w:w="90" w:type="dxa"/>
              <w:right w:w="90" w:type="dxa"/>
            </w:tcMar>
            <w:vAlign w:val="center"/>
          </w:tcPr>
          <w:p w14:paraId="0FC25E5E">
            <w:pPr>
              <w:spacing w:after="0"/>
              <w:jc w:val="center"/>
            </w:pPr>
            <w:r>
              <w:rPr>
                <w:rFonts w:ascii="微软雅黑" w:hAnsi="微软雅黑" w:eastAsia="微软雅黑"/>
                <w:b/>
                <w:color w:val="FFFFFF"/>
                <w:sz w:val="18"/>
              </w:rPr>
              <w:t>类别</w:t>
            </w:r>
          </w:p>
        </w:tc>
        <w:tc>
          <w:tcPr>
            <w:tcW w:w="7660" w:type="dxa"/>
            <w:shd w:val="clear" w:color="auto" w:fill="17324D"/>
            <w:tcMar>
              <w:top w:w="90" w:type="dxa"/>
              <w:left w:w="90" w:type="dxa"/>
              <w:bottom w:w="90" w:type="dxa"/>
              <w:right w:w="90" w:type="dxa"/>
            </w:tcMar>
            <w:vAlign w:val="center"/>
          </w:tcPr>
          <w:p w14:paraId="38DCB4BE">
            <w:pPr>
              <w:spacing w:after="0"/>
              <w:jc w:val="center"/>
            </w:pPr>
            <w:r>
              <w:rPr>
                <w:rFonts w:ascii="微软雅黑" w:hAnsi="微软雅黑" w:eastAsia="微软雅黑"/>
                <w:b/>
                <w:color w:val="FFFFFF"/>
                <w:sz w:val="18"/>
              </w:rPr>
              <w:t>要求</w:t>
            </w:r>
          </w:p>
        </w:tc>
      </w:tr>
      <w:tr w14:paraId="41F7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90" w:type="dxa"/>
              <w:bottom w:w="90" w:type="dxa"/>
              <w:right w:w="90" w:type="dxa"/>
            </w:tcMar>
            <w:vAlign w:val="center"/>
          </w:tcPr>
          <w:p w14:paraId="2735613E">
            <w:pPr>
              <w:spacing w:after="0" w:line="276" w:lineRule="auto"/>
            </w:pPr>
            <w:r>
              <w:rPr>
                <w:rFonts w:ascii="微软雅黑" w:hAnsi="微软雅黑" w:eastAsia="微软雅黑"/>
                <w:color w:val="243041"/>
                <w:sz w:val="18"/>
              </w:rPr>
              <w:t>客户端</w:t>
            </w:r>
          </w:p>
        </w:tc>
        <w:tc>
          <w:tcPr>
            <w:tcW w:w="7660" w:type="dxa"/>
            <w:tcMar>
              <w:top w:w="90" w:type="dxa"/>
              <w:left w:w="90" w:type="dxa"/>
              <w:bottom w:w="90" w:type="dxa"/>
              <w:right w:w="90" w:type="dxa"/>
            </w:tcMar>
            <w:vAlign w:val="center"/>
          </w:tcPr>
          <w:p w14:paraId="70BFF451">
            <w:pPr>
              <w:spacing w:after="0" w:line="276" w:lineRule="auto"/>
            </w:pPr>
            <w:r>
              <w:rPr>
                <w:rFonts w:ascii="微软雅黑" w:hAnsi="微软雅黑" w:eastAsia="微软雅黑"/>
                <w:color w:val="243041"/>
                <w:sz w:val="18"/>
              </w:rPr>
              <w:t>Windows 10/11 或 Linux 桌面系统；Chrome、Edge、Firefox 等现代浏览器；建议分辨率不低于 1280×720</w:t>
            </w:r>
          </w:p>
        </w:tc>
      </w:tr>
      <w:tr w14:paraId="4830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shd w:val="clear" w:color="auto" w:fill="F8FAFC"/>
            <w:tcMar>
              <w:top w:w="90" w:type="dxa"/>
              <w:left w:w="90" w:type="dxa"/>
              <w:bottom w:w="90" w:type="dxa"/>
              <w:right w:w="90" w:type="dxa"/>
            </w:tcMar>
            <w:vAlign w:val="center"/>
          </w:tcPr>
          <w:p w14:paraId="51F1611B">
            <w:pPr>
              <w:spacing w:after="0" w:line="276" w:lineRule="auto"/>
            </w:pPr>
            <w:r>
              <w:rPr>
                <w:rFonts w:ascii="微软雅黑" w:hAnsi="微软雅黑" w:eastAsia="微软雅黑"/>
                <w:color w:val="243041"/>
                <w:sz w:val="18"/>
              </w:rPr>
              <w:t>服务端</w:t>
            </w:r>
          </w:p>
        </w:tc>
        <w:tc>
          <w:tcPr>
            <w:tcW w:w="7660" w:type="dxa"/>
            <w:shd w:val="clear" w:color="auto" w:fill="F8FAFC"/>
            <w:tcMar>
              <w:top w:w="90" w:type="dxa"/>
              <w:left w:w="90" w:type="dxa"/>
              <w:bottom w:w="90" w:type="dxa"/>
              <w:right w:w="90" w:type="dxa"/>
            </w:tcMar>
            <w:vAlign w:val="center"/>
          </w:tcPr>
          <w:p w14:paraId="74D8D23F">
            <w:pPr>
              <w:spacing w:after="0" w:line="276" w:lineRule="auto"/>
            </w:pPr>
            <w:r>
              <w:rPr>
                <w:rFonts w:ascii="微软雅黑" w:hAnsi="微软雅黑" w:eastAsia="微软雅黑"/>
                <w:color w:val="243041"/>
                <w:sz w:val="18"/>
              </w:rPr>
              <w:t>Python 3.9 及以上；FastAPI、Uvicorn、SimPy、NetworkX、Pydantic 等依赖</w:t>
            </w:r>
          </w:p>
        </w:tc>
      </w:tr>
      <w:tr w14:paraId="7BF8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90" w:type="dxa"/>
              <w:bottom w:w="90" w:type="dxa"/>
              <w:right w:w="90" w:type="dxa"/>
            </w:tcMar>
            <w:vAlign w:val="center"/>
          </w:tcPr>
          <w:p w14:paraId="4F290648">
            <w:pPr>
              <w:spacing w:after="0" w:line="276" w:lineRule="auto"/>
            </w:pPr>
            <w:r>
              <w:rPr>
                <w:rFonts w:ascii="微软雅黑" w:hAnsi="微软雅黑" w:eastAsia="微软雅黑"/>
                <w:color w:val="243041"/>
                <w:sz w:val="18"/>
              </w:rPr>
              <w:t>前端技术</w:t>
            </w:r>
          </w:p>
        </w:tc>
        <w:tc>
          <w:tcPr>
            <w:tcW w:w="7660" w:type="dxa"/>
            <w:tcMar>
              <w:top w:w="90" w:type="dxa"/>
              <w:left w:w="90" w:type="dxa"/>
              <w:bottom w:w="90" w:type="dxa"/>
              <w:right w:w="90" w:type="dxa"/>
            </w:tcMar>
            <w:vAlign w:val="center"/>
          </w:tcPr>
          <w:p w14:paraId="013054A7">
            <w:pPr>
              <w:spacing w:after="0" w:line="276" w:lineRule="auto"/>
            </w:pPr>
            <w:r>
              <w:rPr>
                <w:rFonts w:ascii="微软雅黑" w:hAnsi="微软雅黑" w:eastAsia="微软雅黑"/>
                <w:color w:val="243041"/>
                <w:sz w:val="18"/>
              </w:rPr>
              <w:t>HTML5、CSS3、原生 JavaScript、HTML5 Canvas、Chart.js</w:t>
            </w:r>
          </w:p>
        </w:tc>
      </w:tr>
      <w:tr w14:paraId="196B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shd w:val="clear" w:color="auto" w:fill="F8FAFC"/>
            <w:tcMar>
              <w:top w:w="90" w:type="dxa"/>
              <w:left w:w="90" w:type="dxa"/>
              <w:bottom w:w="90" w:type="dxa"/>
              <w:right w:w="90" w:type="dxa"/>
            </w:tcMar>
            <w:vAlign w:val="center"/>
          </w:tcPr>
          <w:p w14:paraId="4BB73C48">
            <w:pPr>
              <w:spacing w:after="0" w:line="276" w:lineRule="auto"/>
            </w:pPr>
            <w:r>
              <w:rPr>
                <w:rFonts w:ascii="微软雅黑" w:hAnsi="微软雅黑" w:eastAsia="微软雅黑"/>
                <w:color w:val="243041"/>
                <w:sz w:val="18"/>
              </w:rPr>
              <w:t>通信方式</w:t>
            </w:r>
          </w:p>
        </w:tc>
        <w:tc>
          <w:tcPr>
            <w:tcW w:w="7660" w:type="dxa"/>
            <w:shd w:val="clear" w:color="auto" w:fill="F8FAFC"/>
            <w:tcMar>
              <w:top w:w="90" w:type="dxa"/>
              <w:left w:w="90" w:type="dxa"/>
              <w:bottom w:w="90" w:type="dxa"/>
              <w:right w:w="90" w:type="dxa"/>
            </w:tcMar>
            <w:vAlign w:val="center"/>
          </w:tcPr>
          <w:p w14:paraId="78B07277">
            <w:pPr>
              <w:spacing w:after="0" w:line="276" w:lineRule="auto"/>
            </w:pPr>
            <w:r>
              <w:rPr>
                <w:rFonts w:ascii="微软雅黑" w:hAnsi="微软雅黑" w:eastAsia="微软雅黑"/>
                <w:color w:val="243041"/>
                <w:sz w:val="18"/>
              </w:rPr>
              <w:t>HTTP/REST；请求和结果主体采用 JSON；工艺和甘特图支持 CSV 文件</w:t>
            </w:r>
          </w:p>
        </w:tc>
      </w:tr>
      <w:tr w14:paraId="3B45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90" w:type="dxa"/>
              <w:bottom w:w="90" w:type="dxa"/>
              <w:right w:w="90" w:type="dxa"/>
            </w:tcMar>
            <w:vAlign w:val="center"/>
          </w:tcPr>
          <w:p w14:paraId="2C04B2CC">
            <w:pPr>
              <w:spacing w:after="0" w:line="276" w:lineRule="auto"/>
            </w:pPr>
            <w:r>
              <w:rPr>
                <w:rFonts w:ascii="微软雅黑" w:hAnsi="微软雅黑" w:eastAsia="微软雅黑"/>
                <w:color w:val="243041"/>
                <w:sz w:val="18"/>
              </w:rPr>
              <w:t>部署方式</w:t>
            </w:r>
          </w:p>
        </w:tc>
        <w:tc>
          <w:tcPr>
            <w:tcW w:w="7660" w:type="dxa"/>
            <w:tcMar>
              <w:top w:w="90" w:type="dxa"/>
              <w:left w:w="90" w:type="dxa"/>
              <w:bottom w:w="90" w:type="dxa"/>
              <w:right w:w="90" w:type="dxa"/>
            </w:tcMar>
            <w:vAlign w:val="center"/>
          </w:tcPr>
          <w:p w14:paraId="76160B4D">
            <w:pPr>
              <w:spacing w:after="0" w:line="276" w:lineRule="auto"/>
            </w:pPr>
            <w:r>
              <w:rPr>
                <w:rFonts w:ascii="微软雅黑" w:hAnsi="微软雅黑" w:eastAsia="微软雅黑"/>
                <w:color w:val="243041"/>
                <w:sz w:val="18"/>
              </w:rPr>
              <w:t>可本机单机部署，也可在局域网或服务器部署后通过浏览器跨平台访问</w:t>
            </w:r>
          </w:p>
        </w:tc>
      </w:tr>
    </w:tbl>
    <w:p w14:paraId="2BB47788">
      <w:pPr>
        <w:spacing w:after="0"/>
      </w:pPr>
    </w:p>
    <w:p w14:paraId="51D9B1F3">
      <w:pPr>
        <w:pStyle w:val="4"/>
        <w:keepNext/>
        <w:keepLines/>
      </w:pPr>
      <w:bookmarkStart w:id="9" w:name="_Toc31865"/>
      <w:r>
        <w:t>2.2 启动步骤</w:t>
      </w:r>
      <w:bookmarkEnd w:id="9"/>
    </w:p>
    <w:p w14:paraId="5D6B9924">
      <w:pPr>
        <w:pStyle w:val="14"/>
        <w:spacing w:after="60" w:line="300" w:lineRule="auto"/>
        <w:ind w:left="425" w:hanging="198"/>
      </w:pPr>
      <w:r>
        <w:rPr>
          <w:rFonts w:ascii="微软雅黑" w:hAnsi="微软雅黑" w:eastAsia="微软雅黑"/>
          <w:sz w:val="21"/>
        </w:rPr>
        <w:t>进入软件项目根目录，确认 app、frontend、config 和 requirements.txt 等程序文件完整。</w:t>
      </w:r>
    </w:p>
    <w:p w14:paraId="34832732">
      <w:pPr>
        <w:pStyle w:val="14"/>
        <w:spacing w:after="60" w:line="300" w:lineRule="auto"/>
        <w:ind w:left="425" w:hanging="198"/>
      </w:pPr>
      <w:r>
        <w:rPr>
          <w:rFonts w:ascii="微软雅黑" w:hAnsi="微软雅黑" w:eastAsia="微软雅黑"/>
          <w:sz w:val="21"/>
        </w:rPr>
        <w:t>安装 Python 依赖，可执行 pip install -r requirements.txt。</w:t>
      </w:r>
    </w:p>
    <w:p w14:paraId="08B8A0EE">
      <w:pPr>
        <w:pStyle w:val="14"/>
        <w:spacing w:after="60" w:line="300" w:lineRule="auto"/>
        <w:ind w:left="425" w:hanging="198"/>
      </w:pPr>
      <w:r>
        <w:rPr>
          <w:rFonts w:ascii="微软雅黑" w:hAnsi="微软雅黑" w:eastAsia="微软雅黑"/>
          <w:sz w:val="21"/>
        </w:rPr>
        <w:t>执行 start.bat，或运行 uvicorn app.main:app --host 0.0.0.0 --port 8000 启动后端服务。</w:t>
      </w:r>
    </w:p>
    <w:p w14:paraId="16AB36B1">
      <w:pPr>
        <w:pStyle w:val="14"/>
        <w:spacing w:after="60" w:line="300" w:lineRule="auto"/>
        <w:ind w:left="425" w:hanging="198"/>
      </w:pPr>
      <w:r>
        <w:rPr>
          <w:rFonts w:ascii="微软雅黑" w:hAnsi="微软雅黑" w:eastAsia="微软雅黑"/>
          <w:sz w:val="21"/>
        </w:rPr>
        <w:t>浏览器访问 http://127.0.0.1:8000/，系统加载单页应用主界面。</w:t>
      </w:r>
    </w:p>
    <w:p w14:paraId="532B2EC8">
      <w:pPr>
        <w:pStyle w:val="14"/>
        <w:spacing w:after="60" w:line="300" w:lineRule="auto"/>
        <w:ind w:left="425" w:hanging="198"/>
      </w:pPr>
      <w:r>
        <w:rPr>
          <w:rFonts w:ascii="微软雅黑" w:hAnsi="微软雅黑" w:eastAsia="微软雅黑"/>
          <w:sz w:val="21"/>
        </w:rPr>
        <w:t>确认顶栏显示软件名称，导航栏包含流程编辑、参数配置、仿真结果和甘特图四个操作页。</w:t>
      </w:r>
    </w:p>
    <w:p w14:paraId="54D5ECC2">
      <w:pPr>
        <w:spacing w:before="40" w:after="40"/>
        <w:jc w:val="center"/>
      </w:pPr>
      <w:r>
        <w:drawing>
          <wp:inline distT="0" distB="0" distL="114300" distR="114300">
            <wp:extent cx="5897880" cy="3396615"/>
            <wp:effectExtent l="0" t="0" r="7620" b="6985"/>
            <wp:docPr id="1" name="Picture 1" descr="图 2-1  软件启动后的流程编辑首页及节点工具箱" title="图 2-1  软件启动后的流程编辑首页及节点工具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2-1  软件启动后的流程编辑首页及节点工具箱" title="图 2-1  软件启动后的流程编辑首页及节点工具箱"/>
                    <pic:cNvPicPr>
                      <a:picLocks noChangeAspect="1"/>
                    </pic:cNvPicPr>
                  </pic:nvPicPr>
                  <pic:blipFill>
                    <a:blip r:embed="rId8"/>
                    <a:stretch>
                      <a:fillRect/>
                    </a:stretch>
                  </pic:blipFill>
                  <pic:spPr>
                    <a:xfrm>
                      <a:off x="0" y="0"/>
                      <a:ext cx="5897880" cy="3396880"/>
                    </a:xfrm>
                    <a:prstGeom prst="rect">
                      <a:avLst/>
                    </a:prstGeom>
                  </pic:spPr>
                </pic:pic>
              </a:graphicData>
            </a:graphic>
          </wp:inline>
        </w:drawing>
      </w:r>
    </w:p>
    <w:p w14:paraId="6132B10E">
      <w:pPr>
        <w:keepLines/>
        <w:spacing w:after="140"/>
        <w:jc w:val="center"/>
        <w:rPr>
          <w:rFonts w:ascii="微软雅黑" w:hAnsi="微软雅黑" w:eastAsia="微软雅黑"/>
          <w:color w:val="5B6675"/>
          <w:sz w:val="18"/>
        </w:rPr>
      </w:pPr>
      <w:r>
        <w:rPr>
          <w:rFonts w:ascii="宋体" w:hAnsi="宋体" w:eastAsia="宋体" w:cs="宋体"/>
          <w:sz w:val="24"/>
          <w:szCs w:val="24"/>
        </w:rPr>
        <w:drawing>
          <wp:inline distT="0" distB="0" distL="114300" distR="114300">
            <wp:extent cx="5943600" cy="3019425"/>
            <wp:effectExtent l="0" t="0" r="0" b="3175"/>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9"/>
                    <a:stretch>
                      <a:fillRect/>
                    </a:stretch>
                  </pic:blipFill>
                  <pic:spPr>
                    <a:xfrm>
                      <a:off x="0" y="0"/>
                      <a:ext cx="5943600" cy="3019425"/>
                    </a:xfrm>
                    <a:prstGeom prst="rect">
                      <a:avLst/>
                    </a:prstGeom>
                    <a:noFill/>
                    <a:ln w="9525">
                      <a:noFill/>
                    </a:ln>
                  </pic:spPr>
                </pic:pic>
              </a:graphicData>
            </a:graphic>
          </wp:inline>
        </w:drawing>
      </w:r>
      <w:bookmarkStart w:id="69" w:name="_GoBack"/>
      <w:bookmarkEnd w:id="69"/>
    </w:p>
    <w:p w14:paraId="6922915F">
      <w:pPr>
        <w:keepLines/>
        <w:spacing w:after="140"/>
        <w:jc w:val="center"/>
      </w:pPr>
      <w:r>
        <w:rPr>
          <w:rFonts w:ascii="微软雅黑" w:hAnsi="微软雅黑" w:eastAsia="微软雅黑"/>
          <w:color w:val="5B6675"/>
          <w:sz w:val="18"/>
        </w:rPr>
        <w:t>图 2-1  软件启动后的流程编辑首页及节点工具箱</w:t>
      </w:r>
    </w:p>
    <w:tbl>
      <w:tblPr>
        <w:tblStyle w:val="34"/>
        <w:tblW w:w="0" w:type="auto"/>
        <w:jc w:val="center"/>
        <w:tblLayout w:type="fixed"/>
        <w:tblCellMar>
          <w:top w:w="0" w:type="dxa"/>
          <w:left w:w="108" w:type="dxa"/>
          <w:bottom w:w="0" w:type="dxa"/>
          <w:right w:w="108" w:type="dxa"/>
        </w:tblCellMar>
      </w:tblPr>
      <w:tblGrid>
        <w:gridCol w:w="4681"/>
        <w:gridCol w:w="4681"/>
      </w:tblGrid>
      <w:tr w14:paraId="35FB7F15">
        <w:tblPrEx>
          <w:tblCellMar>
            <w:top w:w="0" w:type="dxa"/>
            <w:left w:w="108" w:type="dxa"/>
            <w:bottom w:w="0" w:type="dxa"/>
            <w:right w:w="108" w:type="dxa"/>
          </w:tblCellMar>
        </w:tblPrEx>
        <w:trPr>
          <w:jc w:val="center"/>
        </w:trPr>
        <w:tc>
          <w:tcPr>
            <w:tcW w:w="130" w:type="dxa"/>
            <w:shd w:val="clear" w:color="auto" w:fill="16A3B6"/>
            <w:tcMar>
              <w:top w:w="0" w:type="dxa"/>
              <w:left w:w="0" w:type="dxa"/>
              <w:bottom w:w="0" w:type="dxa"/>
              <w:right w:w="0" w:type="dxa"/>
            </w:tcMar>
          </w:tcPr>
          <w:p w14:paraId="4D2B01FA"/>
        </w:tc>
        <w:tc>
          <w:tcPr>
            <w:tcW w:w="9230" w:type="dxa"/>
            <w:shd w:val="clear" w:color="auto" w:fill="EAF4FA"/>
            <w:tcMar>
              <w:top w:w="120" w:type="dxa"/>
              <w:left w:w="180" w:type="dxa"/>
              <w:bottom w:w="120" w:type="dxa"/>
              <w:right w:w="180" w:type="dxa"/>
            </w:tcMar>
          </w:tcPr>
          <w:p w14:paraId="02E20FDC">
            <w:pPr>
              <w:spacing w:after="0"/>
            </w:pPr>
            <w:r>
              <w:rPr>
                <w:rFonts w:ascii="微软雅黑" w:hAnsi="微软雅黑" w:eastAsia="微软雅黑"/>
                <w:b/>
                <w:color w:val="17324D"/>
                <w:sz w:val="21"/>
              </w:rPr>
              <w:t xml:space="preserve">界面核验  </w:t>
            </w:r>
            <w:r>
              <w:rPr>
                <w:rFonts w:ascii="微软雅黑" w:hAnsi="微软雅黑" w:eastAsia="微软雅黑"/>
                <w:color w:val="243041"/>
                <w:sz w:val="21"/>
              </w:rPr>
              <w:t>首页顶栏提供导入 CSV、导出 CSV 和运行仿真三个全局命令；左侧工具箱提供 H、A、M、T、D 五类工艺节点；底部统计区实时显示节点数和连线数。</w:t>
            </w:r>
          </w:p>
        </w:tc>
      </w:tr>
    </w:tbl>
    <w:p w14:paraId="348C1016">
      <w:pPr>
        <w:pStyle w:val="3"/>
        <w:keepNext/>
        <w:keepLines/>
      </w:pPr>
      <w:bookmarkStart w:id="10" w:name="_Toc7086"/>
      <w:r>
        <w:t>3 软件完整使用流程</w:t>
      </w:r>
      <w:bookmarkEnd w:id="10"/>
    </w:p>
    <w:p w14:paraId="7F10BFDE">
      <w:pPr>
        <w:pStyle w:val="4"/>
        <w:keepNext/>
        <w:keepLines/>
      </w:pPr>
      <w:bookmarkStart w:id="11" w:name="_Toc28803"/>
      <w:r>
        <w:t>3.1 端到端业务流程</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DD3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shd w:val="clear" w:color="auto" w:fill="17324D"/>
            <w:tcMar>
              <w:top w:w="90" w:type="dxa"/>
              <w:left w:w="90" w:type="dxa"/>
              <w:bottom w:w="90" w:type="dxa"/>
              <w:right w:w="90" w:type="dxa"/>
            </w:tcMar>
            <w:vAlign w:val="center"/>
          </w:tcPr>
          <w:p w14:paraId="655F1E0B">
            <w:pPr>
              <w:spacing w:after="0"/>
              <w:jc w:val="center"/>
            </w:pPr>
            <w:r>
              <w:rPr>
                <w:rFonts w:ascii="微软雅黑" w:hAnsi="微软雅黑" w:eastAsia="微软雅黑"/>
                <w:b/>
                <w:color w:val="FFFFFF"/>
                <w:sz w:val="16"/>
              </w:rPr>
              <w:t>阶段</w:t>
            </w:r>
          </w:p>
        </w:tc>
        <w:tc>
          <w:tcPr>
            <w:tcW w:w="2450" w:type="dxa"/>
            <w:shd w:val="clear" w:color="auto" w:fill="17324D"/>
            <w:tcMar>
              <w:top w:w="90" w:type="dxa"/>
              <w:left w:w="90" w:type="dxa"/>
              <w:bottom w:w="90" w:type="dxa"/>
              <w:right w:w="90" w:type="dxa"/>
            </w:tcMar>
            <w:vAlign w:val="center"/>
          </w:tcPr>
          <w:p w14:paraId="6E84FB36">
            <w:pPr>
              <w:spacing w:after="0"/>
              <w:jc w:val="center"/>
            </w:pPr>
            <w:r>
              <w:rPr>
                <w:rFonts w:ascii="微软雅黑" w:hAnsi="微软雅黑" w:eastAsia="微软雅黑"/>
                <w:b/>
                <w:color w:val="FFFFFF"/>
                <w:sz w:val="16"/>
              </w:rPr>
              <w:t>用户操作</w:t>
            </w:r>
          </w:p>
        </w:tc>
        <w:tc>
          <w:tcPr>
            <w:tcW w:w="3200" w:type="dxa"/>
            <w:shd w:val="clear" w:color="auto" w:fill="17324D"/>
            <w:tcMar>
              <w:top w:w="90" w:type="dxa"/>
              <w:left w:w="90" w:type="dxa"/>
              <w:bottom w:w="90" w:type="dxa"/>
              <w:right w:w="90" w:type="dxa"/>
            </w:tcMar>
            <w:vAlign w:val="center"/>
          </w:tcPr>
          <w:p w14:paraId="41FED429">
            <w:pPr>
              <w:spacing w:after="0"/>
              <w:jc w:val="center"/>
            </w:pPr>
            <w:r>
              <w:rPr>
                <w:rFonts w:ascii="微软雅黑" w:hAnsi="微软雅黑" w:eastAsia="微软雅黑"/>
                <w:b/>
                <w:color w:val="FFFFFF"/>
                <w:sz w:val="16"/>
              </w:rPr>
              <w:t>系统处理</w:t>
            </w:r>
          </w:p>
        </w:tc>
        <w:tc>
          <w:tcPr>
            <w:tcW w:w="2260" w:type="dxa"/>
            <w:shd w:val="clear" w:color="auto" w:fill="17324D"/>
            <w:tcMar>
              <w:top w:w="90" w:type="dxa"/>
              <w:left w:w="90" w:type="dxa"/>
              <w:bottom w:w="90" w:type="dxa"/>
              <w:right w:w="90" w:type="dxa"/>
            </w:tcMar>
            <w:vAlign w:val="center"/>
          </w:tcPr>
          <w:p w14:paraId="6FD62746">
            <w:pPr>
              <w:spacing w:after="0"/>
              <w:jc w:val="center"/>
            </w:pPr>
            <w:r>
              <w:rPr>
                <w:rFonts w:ascii="微软雅黑" w:hAnsi="微软雅黑" w:eastAsia="微软雅黑"/>
                <w:b/>
                <w:color w:val="FFFFFF"/>
                <w:sz w:val="16"/>
              </w:rPr>
              <w:t>输出/去向</w:t>
            </w:r>
          </w:p>
        </w:tc>
      </w:tr>
      <w:tr w14:paraId="0D5B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90" w:type="dxa"/>
              <w:left w:w="90" w:type="dxa"/>
              <w:bottom w:w="90" w:type="dxa"/>
              <w:right w:w="90" w:type="dxa"/>
            </w:tcMar>
            <w:vAlign w:val="center"/>
          </w:tcPr>
          <w:p w14:paraId="05E56AE2">
            <w:pPr>
              <w:spacing w:after="0" w:line="276" w:lineRule="auto"/>
            </w:pPr>
            <w:r>
              <w:rPr>
                <w:rFonts w:ascii="微软雅黑" w:hAnsi="微软雅黑" w:eastAsia="微软雅黑"/>
                <w:color w:val="243041"/>
                <w:sz w:val="16"/>
              </w:rPr>
              <w:t>1. 建立工艺</w:t>
            </w:r>
          </w:p>
        </w:tc>
        <w:tc>
          <w:tcPr>
            <w:tcW w:w="2450" w:type="dxa"/>
            <w:tcMar>
              <w:top w:w="90" w:type="dxa"/>
              <w:left w:w="90" w:type="dxa"/>
              <w:bottom w:w="90" w:type="dxa"/>
              <w:right w:w="90" w:type="dxa"/>
            </w:tcMar>
            <w:vAlign w:val="center"/>
          </w:tcPr>
          <w:p w14:paraId="2A6A8AC2">
            <w:pPr>
              <w:spacing w:after="0" w:line="276" w:lineRule="auto"/>
            </w:pPr>
            <w:r>
              <w:rPr>
                <w:rFonts w:ascii="微软雅黑" w:hAnsi="微软雅黑" w:eastAsia="微软雅黑"/>
                <w:color w:val="243041"/>
                <w:sz w:val="16"/>
              </w:rPr>
              <w:t>拖拽节点、编辑属性、建立前置关系，或导入 CSV</w:t>
            </w:r>
          </w:p>
        </w:tc>
        <w:tc>
          <w:tcPr>
            <w:tcW w:w="3200" w:type="dxa"/>
            <w:tcMar>
              <w:top w:w="90" w:type="dxa"/>
              <w:left w:w="90" w:type="dxa"/>
              <w:bottom w:w="90" w:type="dxa"/>
              <w:right w:w="90" w:type="dxa"/>
            </w:tcMar>
            <w:vAlign w:val="center"/>
          </w:tcPr>
          <w:p w14:paraId="01B2BE5D">
            <w:pPr>
              <w:spacing w:after="0" w:line="276" w:lineRule="auto"/>
            </w:pPr>
            <w:r>
              <w:rPr>
                <w:rFonts w:ascii="微软雅黑" w:hAnsi="微软雅黑" w:eastAsia="微软雅黑"/>
                <w:color w:val="243041"/>
                <w:sz w:val="16"/>
              </w:rPr>
              <w:t>构建节点和依赖边，形成流程定义</w:t>
            </w:r>
          </w:p>
        </w:tc>
        <w:tc>
          <w:tcPr>
            <w:tcW w:w="2260" w:type="dxa"/>
            <w:tcMar>
              <w:top w:w="90" w:type="dxa"/>
              <w:left w:w="90" w:type="dxa"/>
              <w:bottom w:w="90" w:type="dxa"/>
              <w:right w:w="90" w:type="dxa"/>
            </w:tcMar>
            <w:vAlign w:val="center"/>
          </w:tcPr>
          <w:p w14:paraId="7F9F249E">
            <w:pPr>
              <w:spacing w:after="0" w:line="276" w:lineRule="auto"/>
            </w:pPr>
            <w:r>
              <w:rPr>
                <w:rFonts w:ascii="微软雅黑" w:hAnsi="微软雅黑" w:eastAsia="微软雅黑"/>
                <w:color w:val="243041"/>
                <w:sz w:val="16"/>
              </w:rPr>
              <w:t>流程画布</w:t>
            </w:r>
          </w:p>
        </w:tc>
      </w:tr>
      <w:tr w14:paraId="5E8B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shd w:val="clear" w:color="auto" w:fill="F8FAFC"/>
            <w:tcMar>
              <w:top w:w="90" w:type="dxa"/>
              <w:left w:w="90" w:type="dxa"/>
              <w:bottom w:w="90" w:type="dxa"/>
              <w:right w:w="90" w:type="dxa"/>
            </w:tcMar>
            <w:vAlign w:val="center"/>
          </w:tcPr>
          <w:p w14:paraId="25F8FC2B">
            <w:pPr>
              <w:spacing w:after="0" w:line="276" w:lineRule="auto"/>
            </w:pPr>
            <w:r>
              <w:rPr>
                <w:rFonts w:ascii="微软雅黑" w:hAnsi="微软雅黑" w:eastAsia="微软雅黑"/>
                <w:color w:val="243041"/>
                <w:sz w:val="16"/>
              </w:rPr>
              <w:t>2. 校验流程</w:t>
            </w:r>
          </w:p>
        </w:tc>
        <w:tc>
          <w:tcPr>
            <w:tcW w:w="2450" w:type="dxa"/>
            <w:shd w:val="clear" w:color="auto" w:fill="F8FAFC"/>
            <w:tcMar>
              <w:top w:w="90" w:type="dxa"/>
              <w:left w:w="90" w:type="dxa"/>
              <w:bottom w:w="90" w:type="dxa"/>
              <w:right w:w="90" w:type="dxa"/>
            </w:tcMar>
            <w:vAlign w:val="center"/>
          </w:tcPr>
          <w:p w14:paraId="4865D8F5">
            <w:pPr>
              <w:spacing w:after="0" w:line="276" w:lineRule="auto"/>
            </w:pPr>
            <w:r>
              <w:rPr>
                <w:rFonts w:ascii="微软雅黑" w:hAnsi="微软雅黑" w:eastAsia="微软雅黑"/>
                <w:color w:val="243041"/>
                <w:sz w:val="16"/>
              </w:rPr>
              <w:t>检查步骤 ID、前置节点、工位和资源字段</w:t>
            </w:r>
          </w:p>
        </w:tc>
        <w:tc>
          <w:tcPr>
            <w:tcW w:w="3200" w:type="dxa"/>
            <w:shd w:val="clear" w:color="auto" w:fill="F8FAFC"/>
            <w:tcMar>
              <w:top w:w="90" w:type="dxa"/>
              <w:left w:w="90" w:type="dxa"/>
              <w:bottom w:w="90" w:type="dxa"/>
              <w:right w:w="90" w:type="dxa"/>
            </w:tcMar>
            <w:vAlign w:val="center"/>
          </w:tcPr>
          <w:p w14:paraId="3120C61C">
            <w:pPr>
              <w:spacing w:after="0" w:line="276" w:lineRule="auto"/>
            </w:pPr>
            <w:r>
              <w:rPr>
                <w:rFonts w:ascii="微软雅黑" w:hAnsi="微软雅黑" w:eastAsia="微软雅黑"/>
                <w:color w:val="243041"/>
                <w:sz w:val="16"/>
              </w:rPr>
              <w:t>验证字段、唯一性和 DAG 无环性</w:t>
            </w:r>
          </w:p>
        </w:tc>
        <w:tc>
          <w:tcPr>
            <w:tcW w:w="2260" w:type="dxa"/>
            <w:shd w:val="clear" w:color="auto" w:fill="F8FAFC"/>
            <w:tcMar>
              <w:top w:w="90" w:type="dxa"/>
              <w:left w:w="90" w:type="dxa"/>
              <w:bottom w:w="90" w:type="dxa"/>
              <w:right w:w="90" w:type="dxa"/>
            </w:tcMar>
            <w:vAlign w:val="center"/>
          </w:tcPr>
          <w:p w14:paraId="5CEBE17B">
            <w:pPr>
              <w:spacing w:after="0" w:line="276" w:lineRule="auto"/>
            </w:pPr>
            <w:r>
              <w:rPr>
                <w:rFonts w:ascii="微软雅黑" w:hAnsi="微软雅黑" w:eastAsia="微软雅黑"/>
                <w:color w:val="243041"/>
                <w:sz w:val="16"/>
              </w:rPr>
              <w:t>有效工艺网络</w:t>
            </w:r>
          </w:p>
        </w:tc>
      </w:tr>
      <w:tr w14:paraId="48E2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90" w:type="dxa"/>
              <w:left w:w="90" w:type="dxa"/>
              <w:bottom w:w="90" w:type="dxa"/>
              <w:right w:w="90" w:type="dxa"/>
            </w:tcMar>
            <w:vAlign w:val="center"/>
          </w:tcPr>
          <w:p w14:paraId="118EE855">
            <w:pPr>
              <w:spacing w:after="0" w:line="276" w:lineRule="auto"/>
            </w:pPr>
            <w:r>
              <w:rPr>
                <w:rFonts w:ascii="微软雅黑" w:hAnsi="微软雅黑" w:eastAsia="微软雅黑"/>
                <w:color w:val="243041"/>
                <w:sz w:val="16"/>
              </w:rPr>
              <w:t>3. 配置场景</w:t>
            </w:r>
          </w:p>
        </w:tc>
        <w:tc>
          <w:tcPr>
            <w:tcW w:w="2450" w:type="dxa"/>
            <w:tcMar>
              <w:top w:w="90" w:type="dxa"/>
              <w:left w:w="90" w:type="dxa"/>
              <w:bottom w:w="90" w:type="dxa"/>
              <w:right w:w="90" w:type="dxa"/>
            </w:tcMar>
            <w:vAlign w:val="center"/>
          </w:tcPr>
          <w:p w14:paraId="4323BDE8">
            <w:pPr>
              <w:spacing w:after="0" w:line="276" w:lineRule="auto"/>
            </w:pPr>
            <w:r>
              <w:rPr>
                <w:rFonts w:ascii="微软雅黑" w:hAnsi="微软雅黑" w:eastAsia="微软雅黑"/>
                <w:color w:val="243041"/>
                <w:sz w:val="16"/>
              </w:rPr>
              <w:t>设置排班、工人、产量、设备、流水线和休息规则</w:t>
            </w:r>
          </w:p>
        </w:tc>
        <w:tc>
          <w:tcPr>
            <w:tcW w:w="3200" w:type="dxa"/>
            <w:tcMar>
              <w:top w:w="90" w:type="dxa"/>
              <w:left w:w="90" w:type="dxa"/>
              <w:bottom w:w="90" w:type="dxa"/>
              <w:right w:w="90" w:type="dxa"/>
            </w:tcMar>
            <w:vAlign w:val="center"/>
          </w:tcPr>
          <w:p w14:paraId="2F39B7E2">
            <w:pPr>
              <w:spacing w:after="0" w:line="276" w:lineRule="auto"/>
            </w:pPr>
            <w:r>
              <w:rPr>
                <w:rFonts w:ascii="微软雅黑" w:hAnsi="微软雅黑" w:eastAsia="微软雅黑"/>
                <w:color w:val="243041"/>
                <w:sz w:val="16"/>
              </w:rPr>
              <w:t>生成全局配置对象并检查范围</w:t>
            </w:r>
          </w:p>
        </w:tc>
        <w:tc>
          <w:tcPr>
            <w:tcW w:w="2260" w:type="dxa"/>
            <w:tcMar>
              <w:top w:w="90" w:type="dxa"/>
              <w:left w:w="90" w:type="dxa"/>
              <w:bottom w:w="90" w:type="dxa"/>
              <w:right w:w="90" w:type="dxa"/>
            </w:tcMar>
            <w:vAlign w:val="center"/>
          </w:tcPr>
          <w:p w14:paraId="18E11084">
            <w:pPr>
              <w:spacing w:after="0" w:line="276" w:lineRule="auto"/>
            </w:pPr>
            <w:r>
              <w:rPr>
                <w:rFonts w:ascii="微软雅黑" w:hAnsi="微软雅黑" w:eastAsia="微软雅黑"/>
                <w:color w:val="243041"/>
                <w:sz w:val="16"/>
              </w:rPr>
              <w:t>仿真输入参数</w:t>
            </w:r>
          </w:p>
        </w:tc>
      </w:tr>
      <w:tr w14:paraId="0C98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shd w:val="clear" w:color="auto" w:fill="F8FAFC"/>
            <w:tcMar>
              <w:top w:w="90" w:type="dxa"/>
              <w:left w:w="90" w:type="dxa"/>
              <w:bottom w:w="90" w:type="dxa"/>
              <w:right w:w="90" w:type="dxa"/>
            </w:tcMar>
            <w:vAlign w:val="center"/>
          </w:tcPr>
          <w:p w14:paraId="6483B6E1">
            <w:pPr>
              <w:spacing w:after="0" w:line="276" w:lineRule="auto"/>
            </w:pPr>
            <w:r>
              <w:rPr>
                <w:rFonts w:ascii="微软雅黑" w:hAnsi="微软雅黑" w:eastAsia="微软雅黑"/>
                <w:color w:val="243041"/>
                <w:sz w:val="16"/>
              </w:rPr>
              <w:t>4. 运行仿真</w:t>
            </w:r>
          </w:p>
        </w:tc>
        <w:tc>
          <w:tcPr>
            <w:tcW w:w="2450" w:type="dxa"/>
            <w:shd w:val="clear" w:color="auto" w:fill="F8FAFC"/>
            <w:tcMar>
              <w:top w:w="90" w:type="dxa"/>
              <w:left w:w="90" w:type="dxa"/>
              <w:bottom w:w="90" w:type="dxa"/>
              <w:right w:w="90" w:type="dxa"/>
            </w:tcMar>
            <w:vAlign w:val="center"/>
          </w:tcPr>
          <w:p w14:paraId="2FDC03EA">
            <w:pPr>
              <w:spacing w:after="0" w:line="276" w:lineRule="auto"/>
            </w:pPr>
            <w:r>
              <w:rPr>
                <w:rFonts w:ascii="微软雅黑" w:hAnsi="微软雅黑" w:eastAsia="微软雅黑"/>
                <w:color w:val="243041"/>
                <w:sz w:val="16"/>
              </w:rPr>
              <w:t>点击运行仿真</w:t>
            </w:r>
          </w:p>
        </w:tc>
        <w:tc>
          <w:tcPr>
            <w:tcW w:w="3200" w:type="dxa"/>
            <w:shd w:val="clear" w:color="auto" w:fill="F8FAFC"/>
            <w:tcMar>
              <w:top w:w="90" w:type="dxa"/>
              <w:left w:w="90" w:type="dxa"/>
              <w:bottom w:w="90" w:type="dxa"/>
              <w:right w:w="90" w:type="dxa"/>
            </w:tcMar>
            <w:vAlign w:val="center"/>
          </w:tcPr>
          <w:p w14:paraId="58742C9E">
            <w:pPr>
              <w:spacing w:after="0" w:line="276" w:lineRule="auto"/>
            </w:pPr>
            <w:r>
              <w:rPr>
                <w:rFonts w:ascii="微软雅黑" w:hAnsi="微软雅黑" w:eastAsia="微软雅黑"/>
                <w:color w:val="243041"/>
                <w:sz w:val="16"/>
              </w:rPr>
              <w:t>异步提交，执行 SimPy 事件仿真和资源调度</w:t>
            </w:r>
          </w:p>
        </w:tc>
        <w:tc>
          <w:tcPr>
            <w:tcW w:w="2260" w:type="dxa"/>
            <w:shd w:val="clear" w:color="auto" w:fill="F8FAFC"/>
            <w:tcMar>
              <w:top w:w="90" w:type="dxa"/>
              <w:left w:w="90" w:type="dxa"/>
              <w:bottom w:w="90" w:type="dxa"/>
              <w:right w:w="90" w:type="dxa"/>
            </w:tcMar>
            <w:vAlign w:val="center"/>
          </w:tcPr>
          <w:p w14:paraId="1A281A39">
            <w:pPr>
              <w:spacing w:after="0" w:line="276" w:lineRule="auto"/>
            </w:pPr>
            <w:r>
              <w:rPr>
                <w:rFonts w:ascii="微软雅黑" w:hAnsi="微软雅黑" w:eastAsia="微软雅黑"/>
                <w:color w:val="243041"/>
                <w:sz w:val="16"/>
              </w:rPr>
              <w:t>仿真事件与统计结果</w:t>
            </w:r>
          </w:p>
        </w:tc>
      </w:tr>
      <w:tr w14:paraId="0BDA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90" w:type="dxa"/>
              <w:left w:w="90" w:type="dxa"/>
              <w:bottom w:w="90" w:type="dxa"/>
              <w:right w:w="90" w:type="dxa"/>
            </w:tcMar>
            <w:vAlign w:val="center"/>
          </w:tcPr>
          <w:p w14:paraId="10E48F61">
            <w:pPr>
              <w:spacing w:after="0" w:line="276" w:lineRule="auto"/>
            </w:pPr>
            <w:r>
              <w:rPr>
                <w:rFonts w:ascii="微软雅黑" w:hAnsi="微软雅黑" w:eastAsia="微软雅黑"/>
                <w:color w:val="243041"/>
                <w:sz w:val="16"/>
              </w:rPr>
              <w:t>5. 查看报表</w:t>
            </w:r>
          </w:p>
        </w:tc>
        <w:tc>
          <w:tcPr>
            <w:tcW w:w="2450" w:type="dxa"/>
            <w:tcMar>
              <w:top w:w="90" w:type="dxa"/>
              <w:left w:w="90" w:type="dxa"/>
              <w:bottom w:w="90" w:type="dxa"/>
              <w:right w:w="90" w:type="dxa"/>
            </w:tcMar>
            <w:vAlign w:val="center"/>
          </w:tcPr>
          <w:p w14:paraId="1FFE8E4B">
            <w:pPr>
              <w:spacing w:after="0" w:line="276" w:lineRule="auto"/>
            </w:pPr>
            <w:r>
              <w:rPr>
                <w:rFonts w:ascii="微软雅黑" w:hAnsi="微软雅黑" w:eastAsia="微软雅黑"/>
                <w:color w:val="243041"/>
                <w:sz w:val="16"/>
              </w:rPr>
              <w:t>切换仿真结果页</w:t>
            </w:r>
          </w:p>
        </w:tc>
        <w:tc>
          <w:tcPr>
            <w:tcW w:w="3200" w:type="dxa"/>
            <w:tcMar>
              <w:top w:w="90" w:type="dxa"/>
              <w:left w:w="90" w:type="dxa"/>
              <w:bottom w:w="90" w:type="dxa"/>
              <w:right w:w="90" w:type="dxa"/>
            </w:tcMar>
            <w:vAlign w:val="center"/>
          </w:tcPr>
          <w:p w14:paraId="35AAE845">
            <w:pPr>
              <w:spacing w:after="0" w:line="276" w:lineRule="auto"/>
            </w:pPr>
            <w:r>
              <w:rPr>
                <w:rFonts w:ascii="微软雅黑" w:hAnsi="微软雅黑" w:eastAsia="微软雅黑"/>
                <w:color w:val="243041"/>
                <w:sz w:val="16"/>
              </w:rPr>
              <w:t>汇总 KPI、人因、资源、质量、瓶颈和工位数据</w:t>
            </w:r>
          </w:p>
        </w:tc>
        <w:tc>
          <w:tcPr>
            <w:tcW w:w="2260" w:type="dxa"/>
            <w:tcMar>
              <w:top w:w="90" w:type="dxa"/>
              <w:left w:w="90" w:type="dxa"/>
              <w:bottom w:w="90" w:type="dxa"/>
              <w:right w:w="90" w:type="dxa"/>
            </w:tcMar>
            <w:vAlign w:val="center"/>
          </w:tcPr>
          <w:p w14:paraId="1CCAE7C4">
            <w:pPr>
              <w:spacing w:after="0" w:line="276" w:lineRule="auto"/>
            </w:pPr>
            <w:r>
              <w:rPr>
                <w:rFonts w:ascii="微软雅黑" w:hAnsi="微软雅黑" w:eastAsia="微软雅黑"/>
                <w:color w:val="243041"/>
                <w:sz w:val="16"/>
              </w:rPr>
              <w:t>多维分析报表</w:t>
            </w:r>
          </w:p>
        </w:tc>
      </w:tr>
      <w:tr w14:paraId="2A9C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shd w:val="clear" w:color="auto" w:fill="F8FAFC"/>
            <w:tcMar>
              <w:top w:w="90" w:type="dxa"/>
              <w:left w:w="90" w:type="dxa"/>
              <w:bottom w:w="90" w:type="dxa"/>
              <w:right w:w="90" w:type="dxa"/>
            </w:tcMar>
            <w:vAlign w:val="center"/>
          </w:tcPr>
          <w:p w14:paraId="4F7A73EE">
            <w:pPr>
              <w:spacing w:after="0" w:line="276" w:lineRule="auto"/>
            </w:pPr>
            <w:r>
              <w:rPr>
                <w:rFonts w:ascii="微软雅黑" w:hAnsi="微软雅黑" w:eastAsia="微软雅黑"/>
                <w:color w:val="243041"/>
                <w:sz w:val="16"/>
              </w:rPr>
              <w:t>6. 分析排产</w:t>
            </w:r>
          </w:p>
        </w:tc>
        <w:tc>
          <w:tcPr>
            <w:tcW w:w="2450" w:type="dxa"/>
            <w:shd w:val="clear" w:color="auto" w:fill="F8FAFC"/>
            <w:tcMar>
              <w:top w:w="90" w:type="dxa"/>
              <w:left w:w="90" w:type="dxa"/>
              <w:bottom w:w="90" w:type="dxa"/>
              <w:right w:w="90" w:type="dxa"/>
            </w:tcMar>
            <w:vAlign w:val="center"/>
          </w:tcPr>
          <w:p w14:paraId="2086944D">
            <w:pPr>
              <w:spacing w:after="0" w:line="276" w:lineRule="auto"/>
            </w:pPr>
            <w:r>
              <w:rPr>
                <w:rFonts w:ascii="微软雅黑" w:hAnsi="微软雅黑" w:eastAsia="微软雅黑"/>
                <w:color w:val="243041"/>
                <w:sz w:val="16"/>
              </w:rPr>
              <w:t>切换甘特图，筛选时间范围</w:t>
            </w:r>
          </w:p>
        </w:tc>
        <w:tc>
          <w:tcPr>
            <w:tcW w:w="3200" w:type="dxa"/>
            <w:shd w:val="clear" w:color="auto" w:fill="F8FAFC"/>
            <w:tcMar>
              <w:top w:w="90" w:type="dxa"/>
              <w:left w:w="90" w:type="dxa"/>
              <w:bottom w:w="90" w:type="dxa"/>
              <w:right w:w="90" w:type="dxa"/>
            </w:tcMar>
            <w:vAlign w:val="center"/>
          </w:tcPr>
          <w:p w14:paraId="7ABCF1CE">
            <w:pPr>
              <w:spacing w:after="0" w:line="276" w:lineRule="auto"/>
            </w:pPr>
            <w:r>
              <w:rPr>
                <w:rFonts w:ascii="微软雅黑" w:hAnsi="微软雅黑" w:eastAsia="微软雅黑"/>
                <w:color w:val="243041"/>
                <w:sz w:val="16"/>
              </w:rPr>
              <w:t>按发动机和工人渲染任务状态时间轴</w:t>
            </w:r>
          </w:p>
        </w:tc>
        <w:tc>
          <w:tcPr>
            <w:tcW w:w="2260" w:type="dxa"/>
            <w:shd w:val="clear" w:color="auto" w:fill="F8FAFC"/>
            <w:tcMar>
              <w:top w:w="90" w:type="dxa"/>
              <w:left w:w="90" w:type="dxa"/>
              <w:bottom w:w="90" w:type="dxa"/>
              <w:right w:w="90" w:type="dxa"/>
            </w:tcMar>
            <w:vAlign w:val="center"/>
          </w:tcPr>
          <w:p w14:paraId="6EC30A16">
            <w:pPr>
              <w:spacing w:after="0" w:line="276" w:lineRule="auto"/>
            </w:pPr>
            <w:r>
              <w:rPr>
                <w:rFonts w:ascii="微软雅黑" w:hAnsi="微软雅黑" w:eastAsia="微软雅黑"/>
                <w:color w:val="243041"/>
                <w:sz w:val="16"/>
              </w:rPr>
              <w:t>排产明细</w:t>
            </w:r>
          </w:p>
        </w:tc>
      </w:tr>
      <w:tr w14:paraId="294FC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tcMar>
              <w:top w:w="90" w:type="dxa"/>
              <w:left w:w="90" w:type="dxa"/>
              <w:bottom w:w="90" w:type="dxa"/>
              <w:right w:w="90" w:type="dxa"/>
            </w:tcMar>
            <w:vAlign w:val="center"/>
          </w:tcPr>
          <w:p w14:paraId="1003276C">
            <w:pPr>
              <w:spacing w:after="0" w:line="276" w:lineRule="auto"/>
            </w:pPr>
            <w:r>
              <w:rPr>
                <w:rFonts w:ascii="微软雅黑" w:hAnsi="微软雅黑" w:eastAsia="微软雅黑"/>
                <w:color w:val="243041"/>
                <w:sz w:val="16"/>
              </w:rPr>
              <w:t>7. 导出复盘</w:t>
            </w:r>
          </w:p>
        </w:tc>
        <w:tc>
          <w:tcPr>
            <w:tcW w:w="2450" w:type="dxa"/>
            <w:tcMar>
              <w:top w:w="90" w:type="dxa"/>
              <w:left w:w="90" w:type="dxa"/>
              <w:bottom w:w="90" w:type="dxa"/>
              <w:right w:w="90" w:type="dxa"/>
            </w:tcMar>
            <w:vAlign w:val="center"/>
          </w:tcPr>
          <w:p w14:paraId="4E27839A">
            <w:pPr>
              <w:spacing w:after="0" w:line="276" w:lineRule="auto"/>
            </w:pPr>
            <w:r>
              <w:rPr>
                <w:rFonts w:ascii="微软雅黑" w:hAnsi="微软雅黑" w:eastAsia="微软雅黑"/>
                <w:color w:val="243041"/>
                <w:sz w:val="16"/>
              </w:rPr>
              <w:t>导出工艺、甘特图或完整报告</w:t>
            </w:r>
          </w:p>
        </w:tc>
        <w:tc>
          <w:tcPr>
            <w:tcW w:w="3200" w:type="dxa"/>
            <w:tcMar>
              <w:top w:w="90" w:type="dxa"/>
              <w:left w:w="90" w:type="dxa"/>
              <w:bottom w:w="90" w:type="dxa"/>
              <w:right w:w="90" w:type="dxa"/>
            </w:tcMar>
            <w:vAlign w:val="center"/>
          </w:tcPr>
          <w:p w14:paraId="2D7C2E1F">
            <w:pPr>
              <w:spacing w:after="0" w:line="276" w:lineRule="auto"/>
            </w:pPr>
            <w:r>
              <w:rPr>
                <w:rFonts w:ascii="微软雅黑" w:hAnsi="微软雅黑" w:eastAsia="微软雅黑"/>
                <w:color w:val="243041"/>
                <w:sz w:val="16"/>
              </w:rPr>
              <w:t>CSV/JSON 序列化</w:t>
            </w:r>
          </w:p>
        </w:tc>
        <w:tc>
          <w:tcPr>
            <w:tcW w:w="2260" w:type="dxa"/>
            <w:tcMar>
              <w:top w:w="90" w:type="dxa"/>
              <w:left w:w="90" w:type="dxa"/>
              <w:bottom w:w="90" w:type="dxa"/>
              <w:right w:w="90" w:type="dxa"/>
            </w:tcMar>
            <w:vAlign w:val="center"/>
          </w:tcPr>
          <w:p w14:paraId="11F97567">
            <w:pPr>
              <w:spacing w:after="0" w:line="276" w:lineRule="auto"/>
            </w:pPr>
            <w:r>
              <w:rPr>
                <w:rFonts w:ascii="微软雅黑" w:hAnsi="微软雅黑" w:eastAsia="微软雅黑"/>
                <w:color w:val="243041"/>
                <w:sz w:val="16"/>
              </w:rPr>
              <w:t>外部文件</w:t>
            </w:r>
          </w:p>
        </w:tc>
      </w:tr>
    </w:tbl>
    <w:p w14:paraId="762F8639">
      <w:pPr>
        <w:spacing w:after="0"/>
      </w:pPr>
    </w:p>
    <w:p w14:paraId="7534990D">
      <w:pPr>
        <w:pStyle w:val="4"/>
        <w:keepNext/>
        <w:keepLines/>
      </w:pPr>
      <w:bookmarkStart w:id="12" w:name="_Toc9619"/>
      <w:r>
        <w:t>3.2 页面导航和状态流转</w:t>
      </w:r>
      <w:bookmarkEnd w:id="12"/>
    </w:p>
    <w:p w14:paraId="6C853A59">
      <w:pPr>
        <w:spacing w:after="80" w:line="324" w:lineRule="auto"/>
        <w:ind w:firstLine="420"/>
      </w:pPr>
      <w:r>
        <w:rPr>
          <w:rFonts w:ascii="微软雅黑" w:hAnsi="微软雅黑" w:eastAsia="微软雅黑"/>
          <w:sz w:val="22"/>
        </w:rPr>
        <w:t>流程编辑、参数配置、仿真结果和甘特图共用同一浏览器页面。前端以统一状态对象保存节点、连线、配置和最近一次仿真结果。用户切换标签页时不丢失当前编辑内容；运行完成后，结果数据被分发至 KPI、资源图表、瓶颈分析、工位分析和甘特图组件。</w:t>
      </w:r>
    </w:p>
    <w:tbl>
      <w:tblPr>
        <w:tblStyle w:val="34"/>
        <w:tblW w:w="0" w:type="auto"/>
        <w:jc w:val="center"/>
        <w:tblLayout w:type="fixed"/>
        <w:tblCellMar>
          <w:top w:w="0" w:type="dxa"/>
          <w:left w:w="108" w:type="dxa"/>
          <w:bottom w:w="0" w:type="dxa"/>
          <w:right w:w="108" w:type="dxa"/>
        </w:tblCellMar>
      </w:tblPr>
      <w:tblGrid>
        <w:gridCol w:w="4681"/>
        <w:gridCol w:w="4681"/>
      </w:tblGrid>
      <w:tr w14:paraId="552354BF">
        <w:tblPrEx>
          <w:tblCellMar>
            <w:top w:w="0" w:type="dxa"/>
            <w:left w:w="108" w:type="dxa"/>
            <w:bottom w:w="0" w:type="dxa"/>
            <w:right w:w="108" w:type="dxa"/>
          </w:tblCellMar>
        </w:tblPrEx>
        <w:trPr>
          <w:jc w:val="center"/>
        </w:trPr>
        <w:tc>
          <w:tcPr>
            <w:tcW w:w="130" w:type="dxa"/>
            <w:shd w:val="clear" w:color="auto" w:fill="16A3B6"/>
            <w:tcMar>
              <w:top w:w="0" w:type="dxa"/>
              <w:left w:w="0" w:type="dxa"/>
              <w:bottom w:w="0" w:type="dxa"/>
              <w:right w:w="0" w:type="dxa"/>
            </w:tcMar>
          </w:tcPr>
          <w:p w14:paraId="1DC12FD9"/>
        </w:tc>
        <w:tc>
          <w:tcPr>
            <w:tcW w:w="9230" w:type="dxa"/>
            <w:shd w:val="clear" w:color="auto" w:fill="EAF4FA"/>
            <w:tcMar>
              <w:top w:w="120" w:type="dxa"/>
              <w:left w:w="180" w:type="dxa"/>
              <w:bottom w:w="120" w:type="dxa"/>
              <w:right w:w="180" w:type="dxa"/>
            </w:tcMar>
          </w:tcPr>
          <w:p w14:paraId="507DE9CF">
            <w:pPr>
              <w:spacing w:after="0"/>
            </w:pPr>
            <w:r>
              <w:rPr>
                <w:rFonts w:ascii="微软雅黑" w:hAnsi="微软雅黑" w:eastAsia="微软雅黑"/>
                <w:b/>
                <w:color w:val="17324D"/>
                <w:sz w:val="21"/>
              </w:rPr>
              <w:t xml:space="preserve">连贯性要求  </w:t>
            </w:r>
            <w:r>
              <w:rPr>
                <w:rFonts w:ascii="微软雅黑" w:hAnsi="微软雅黑" w:eastAsia="微软雅黑"/>
                <w:color w:val="243041"/>
                <w:sz w:val="21"/>
              </w:rPr>
              <w:t>正常操作顺序为“流程编辑 → 参数配置 → 运行仿真 → 仿真结果 → 甘特图 → 数据导出”。本说明书第4至第9章按该顺序展示全部功能及真实界面。</w:t>
            </w:r>
          </w:p>
        </w:tc>
      </w:tr>
    </w:tbl>
    <w:p w14:paraId="33B4BCF7">
      <w:pPr>
        <w:pStyle w:val="3"/>
        <w:keepNext/>
        <w:keepLines/>
      </w:pPr>
      <w:bookmarkStart w:id="13" w:name="_Toc19176"/>
      <w:r>
        <w:t>4 可视化流程编辑器</w:t>
      </w:r>
      <w:bookmarkEnd w:id="13"/>
    </w:p>
    <w:p w14:paraId="2C34C006">
      <w:pPr>
        <w:pStyle w:val="4"/>
        <w:keepNext/>
        <w:keepLines/>
      </w:pPr>
      <w:bookmarkStart w:id="14" w:name="_Toc12232"/>
      <w:r>
        <w:t>4.1 节点类型与工具箱</w:t>
      </w:r>
      <w:bookmarkEnd w:id="1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32F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40" w:type="dxa"/>
            <w:shd w:val="clear" w:color="auto" w:fill="17324D"/>
            <w:tcMar>
              <w:top w:w="90" w:type="dxa"/>
              <w:left w:w="90" w:type="dxa"/>
              <w:bottom w:w="90" w:type="dxa"/>
              <w:right w:w="90" w:type="dxa"/>
            </w:tcMar>
            <w:vAlign w:val="center"/>
          </w:tcPr>
          <w:p w14:paraId="49D6B286">
            <w:pPr>
              <w:spacing w:after="0"/>
              <w:jc w:val="center"/>
            </w:pPr>
            <w:r>
              <w:rPr>
                <w:rFonts w:ascii="微软雅黑" w:hAnsi="微软雅黑" w:eastAsia="微软雅黑"/>
                <w:b/>
                <w:color w:val="FFFFFF"/>
                <w:sz w:val="18"/>
              </w:rPr>
              <w:t>代码</w:t>
            </w:r>
          </w:p>
        </w:tc>
        <w:tc>
          <w:tcPr>
            <w:tcW w:w="2340" w:type="dxa"/>
            <w:shd w:val="clear" w:color="auto" w:fill="17324D"/>
            <w:tcMar>
              <w:top w:w="90" w:type="dxa"/>
              <w:left w:w="90" w:type="dxa"/>
              <w:bottom w:w="90" w:type="dxa"/>
              <w:right w:w="90" w:type="dxa"/>
            </w:tcMar>
            <w:vAlign w:val="center"/>
          </w:tcPr>
          <w:p w14:paraId="261550C9">
            <w:pPr>
              <w:spacing w:after="0"/>
              <w:jc w:val="center"/>
            </w:pPr>
            <w:r>
              <w:rPr>
                <w:rFonts w:ascii="微软雅黑" w:hAnsi="微软雅黑" w:eastAsia="微软雅黑"/>
                <w:b/>
                <w:color w:val="FFFFFF"/>
                <w:sz w:val="18"/>
              </w:rPr>
              <w:t>节点类型</w:t>
            </w:r>
          </w:p>
        </w:tc>
        <w:tc>
          <w:tcPr>
            <w:tcW w:w="2340" w:type="dxa"/>
            <w:shd w:val="clear" w:color="auto" w:fill="17324D"/>
            <w:tcMar>
              <w:top w:w="90" w:type="dxa"/>
              <w:left w:w="90" w:type="dxa"/>
              <w:bottom w:w="90" w:type="dxa"/>
              <w:right w:w="90" w:type="dxa"/>
            </w:tcMar>
            <w:vAlign w:val="center"/>
          </w:tcPr>
          <w:p w14:paraId="5786D514">
            <w:pPr>
              <w:spacing w:after="0"/>
              <w:jc w:val="center"/>
            </w:pPr>
            <w:r>
              <w:rPr>
                <w:rFonts w:ascii="微软雅黑" w:hAnsi="微软雅黑" w:eastAsia="微软雅黑"/>
                <w:b/>
                <w:color w:val="FFFFFF"/>
                <w:sz w:val="18"/>
              </w:rPr>
              <w:t>用途</w:t>
            </w:r>
          </w:p>
        </w:tc>
        <w:tc>
          <w:tcPr>
            <w:tcW w:w="2340" w:type="dxa"/>
            <w:shd w:val="clear" w:color="auto" w:fill="17324D"/>
            <w:tcMar>
              <w:top w:w="90" w:type="dxa"/>
              <w:left w:w="90" w:type="dxa"/>
              <w:bottom w:w="90" w:type="dxa"/>
              <w:right w:w="90" w:type="dxa"/>
            </w:tcMar>
            <w:vAlign w:val="center"/>
          </w:tcPr>
          <w:p w14:paraId="5ED3F73B">
            <w:pPr>
              <w:spacing w:after="0"/>
              <w:jc w:val="center"/>
            </w:pPr>
            <w:r>
              <w:rPr>
                <w:rFonts w:ascii="微软雅黑" w:hAnsi="微软雅黑" w:eastAsia="微软雅黑"/>
                <w:b/>
                <w:color w:val="FFFFFF"/>
                <w:sz w:val="18"/>
              </w:rPr>
              <w:t>关键业务属性</w:t>
            </w:r>
          </w:p>
        </w:tc>
      </w:tr>
      <w:tr w14:paraId="0C79B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90" w:type="dxa"/>
              <w:left w:w="90" w:type="dxa"/>
              <w:bottom w:w="90" w:type="dxa"/>
              <w:right w:w="90" w:type="dxa"/>
            </w:tcMar>
            <w:vAlign w:val="center"/>
          </w:tcPr>
          <w:p w14:paraId="19A6905C">
            <w:pPr>
              <w:spacing w:after="0" w:line="276" w:lineRule="auto"/>
            </w:pPr>
            <w:r>
              <w:rPr>
                <w:rFonts w:ascii="微软雅黑" w:hAnsi="微软雅黑" w:eastAsia="微软雅黑"/>
                <w:color w:val="243041"/>
                <w:sz w:val="18"/>
              </w:rPr>
              <w:t>H</w:t>
            </w:r>
          </w:p>
        </w:tc>
        <w:tc>
          <w:tcPr>
            <w:tcW w:w="2340" w:type="dxa"/>
            <w:tcMar>
              <w:top w:w="90" w:type="dxa"/>
              <w:left w:w="90" w:type="dxa"/>
              <w:bottom w:w="90" w:type="dxa"/>
              <w:right w:w="90" w:type="dxa"/>
            </w:tcMar>
            <w:vAlign w:val="center"/>
          </w:tcPr>
          <w:p w14:paraId="7DF969EF">
            <w:pPr>
              <w:spacing w:after="0" w:line="276" w:lineRule="auto"/>
            </w:pPr>
            <w:r>
              <w:rPr>
                <w:rFonts w:ascii="微软雅黑" w:hAnsi="微软雅黑" w:eastAsia="微软雅黑"/>
                <w:color w:val="243041"/>
                <w:sz w:val="18"/>
              </w:rPr>
              <w:t>搬运 Handling</w:t>
            </w:r>
          </w:p>
        </w:tc>
        <w:tc>
          <w:tcPr>
            <w:tcW w:w="2340" w:type="dxa"/>
            <w:tcMar>
              <w:top w:w="90" w:type="dxa"/>
              <w:left w:w="90" w:type="dxa"/>
              <w:bottom w:w="90" w:type="dxa"/>
              <w:right w:w="90" w:type="dxa"/>
            </w:tcMar>
            <w:vAlign w:val="center"/>
          </w:tcPr>
          <w:p w14:paraId="60253510">
            <w:pPr>
              <w:spacing w:after="0" w:line="276" w:lineRule="auto"/>
            </w:pPr>
            <w:r>
              <w:rPr>
                <w:rFonts w:ascii="微软雅黑" w:hAnsi="微软雅黑" w:eastAsia="微软雅黑"/>
                <w:color w:val="243041"/>
                <w:sz w:val="18"/>
              </w:rPr>
              <w:t>零件转运、配送、上线与下线</w:t>
            </w:r>
          </w:p>
        </w:tc>
        <w:tc>
          <w:tcPr>
            <w:tcW w:w="2340" w:type="dxa"/>
            <w:tcMar>
              <w:top w:w="90" w:type="dxa"/>
              <w:left w:w="90" w:type="dxa"/>
              <w:bottom w:w="90" w:type="dxa"/>
              <w:right w:w="90" w:type="dxa"/>
            </w:tcMar>
            <w:vAlign w:val="center"/>
          </w:tcPr>
          <w:p w14:paraId="2FA05048">
            <w:pPr>
              <w:spacing w:after="0" w:line="276" w:lineRule="auto"/>
            </w:pPr>
            <w:r>
              <w:rPr>
                <w:rFonts w:ascii="微软雅黑" w:hAnsi="微软雅黑" w:eastAsia="微软雅黑"/>
                <w:color w:val="243041"/>
                <w:sz w:val="18"/>
              </w:rPr>
              <w:t>工时、工位、工人、前置节点</w:t>
            </w:r>
          </w:p>
        </w:tc>
      </w:tr>
      <w:tr w14:paraId="0420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8FAFC"/>
            <w:tcMar>
              <w:top w:w="90" w:type="dxa"/>
              <w:left w:w="90" w:type="dxa"/>
              <w:bottom w:w="90" w:type="dxa"/>
              <w:right w:w="90" w:type="dxa"/>
            </w:tcMar>
            <w:vAlign w:val="center"/>
          </w:tcPr>
          <w:p w14:paraId="4D42D22B">
            <w:pPr>
              <w:spacing w:after="0" w:line="276" w:lineRule="auto"/>
            </w:pPr>
            <w:r>
              <w:rPr>
                <w:rFonts w:ascii="微软雅黑" w:hAnsi="微软雅黑" w:eastAsia="微软雅黑"/>
                <w:color w:val="243041"/>
                <w:sz w:val="18"/>
              </w:rPr>
              <w:t>A</w:t>
            </w:r>
          </w:p>
        </w:tc>
        <w:tc>
          <w:tcPr>
            <w:tcW w:w="2340" w:type="dxa"/>
            <w:shd w:val="clear" w:color="auto" w:fill="F8FAFC"/>
            <w:tcMar>
              <w:top w:w="90" w:type="dxa"/>
              <w:left w:w="90" w:type="dxa"/>
              <w:bottom w:w="90" w:type="dxa"/>
              <w:right w:w="90" w:type="dxa"/>
            </w:tcMar>
            <w:vAlign w:val="center"/>
          </w:tcPr>
          <w:p w14:paraId="0A0F4379">
            <w:pPr>
              <w:spacing w:after="0" w:line="276" w:lineRule="auto"/>
            </w:pPr>
            <w:r>
              <w:rPr>
                <w:rFonts w:ascii="微软雅黑" w:hAnsi="微软雅黑" w:eastAsia="微软雅黑"/>
                <w:color w:val="243041"/>
                <w:sz w:val="18"/>
              </w:rPr>
              <w:t>装配 Assembly</w:t>
            </w:r>
          </w:p>
        </w:tc>
        <w:tc>
          <w:tcPr>
            <w:tcW w:w="2340" w:type="dxa"/>
            <w:shd w:val="clear" w:color="auto" w:fill="F8FAFC"/>
            <w:tcMar>
              <w:top w:w="90" w:type="dxa"/>
              <w:left w:w="90" w:type="dxa"/>
              <w:bottom w:w="90" w:type="dxa"/>
              <w:right w:w="90" w:type="dxa"/>
            </w:tcMar>
            <w:vAlign w:val="center"/>
          </w:tcPr>
          <w:p w14:paraId="5350509B">
            <w:pPr>
              <w:spacing w:after="0" w:line="276" w:lineRule="auto"/>
            </w:pPr>
            <w:r>
              <w:rPr>
                <w:rFonts w:ascii="微软雅黑" w:hAnsi="微软雅黑" w:eastAsia="微软雅黑"/>
                <w:color w:val="243041"/>
                <w:sz w:val="18"/>
              </w:rPr>
              <w:t>安装、连接、调整、总成和装配作业</w:t>
            </w:r>
          </w:p>
        </w:tc>
        <w:tc>
          <w:tcPr>
            <w:tcW w:w="2340" w:type="dxa"/>
            <w:shd w:val="clear" w:color="auto" w:fill="F8FAFC"/>
            <w:tcMar>
              <w:top w:w="90" w:type="dxa"/>
              <w:left w:w="90" w:type="dxa"/>
              <w:bottom w:w="90" w:type="dxa"/>
              <w:right w:w="90" w:type="dxa"/>
            </w:tcMar>
            <w:vAlign w:val="center"/>
          </w:tcPr>
          <w:p w14:paraId="2724F1AF">
            <w:pPr>
              <w:spacing w:after="0" w:line="276" w:lineRule="auto"/>
            </w:pPr>
            <w:r>
              <w:rPr>
                <w:rFonts w:ascii="微软雅黑" w:hAnsi="微软雅黑" w:eastAsia="微软雅黑"/>
                <w:color w:val="243041"/>
                <w:sz w:val="18"/>
              </w:rPr>
              <w:t>工时、方差、负荷、工人、工具</w:t>
            </w:r>
          </w:p>
        </w:tc>
      </w:tr>
      <w:tr w14:paraId="0305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tcMar>
              <w:top w:w="90" w:type="dxa"/>
              <w:left w:w="90" w:type="dxa"/>
              <w:bottom w:w="90" w:type="dxa"/>
              <w:right w:w="90" w:type="dxa"/>
            </w:tcMar>
            <w:vAlign w:val="center"/>
          </w:tcPr>
          <w:p w14:paraId="74BEA7C1">
            <w:pPr>
              <w:spacing w:after="0" w:line="276" w:lineRule="auto"/>
            </w:pPr>
            <w:r>
              <w:rPr>
                <w:rFonts w:ascii="微软雅黑" w:hAnsi="微软雅黑" w:eastAsia="微软雅黑"/>
                <w:color w:val="243041"/>
                <w:sz w:val="18"/>
              </w:rPr>
              <w:t>M</w:t>
            </w:r>
          </w:p>
        </w:tc>
        <w:tc>
          <w:tcPr>
            <w:tcW w:w="2340" w:type="dxa"/>
            <w:tcMar>
              <w:top w:w="90" w:type="dxa"/>
              <w:left w:w="90" w:type="dxa"/>
              <w:bottom w:w="90" w:type="dxa"/>
              <w:right w:w="90" w:type="dxa"/>
            </w:tcMar>
            <w:vAlign w:val="center"/>
          </w:tcPr>
          <w:p w14:paraId="099DB5AB">
            <w:pPr>
              <w:spacing w:after="0" w:line="276" w:lineRule="auto"/>
            </w:pPr>
            <w:r>
              <w:rPr>
                <w:rFonts w:ascii="微软雅黑" w:hAnsi="微软雅黑" w:eastAsia="微软雅黑"/>
                <w:color w:val="243041"/>
                <w:sz w:val="18"/>
              </w:rPr>
              <w:t>测量 Measurement</w:t>
            </w:r>
          </w:p>
        </w:tc>
        <w:tc>
          <w:tcPr>
            <w:tcW w:w="2340" w:type="dxa"/>
            <w:tcMar>
              <w:top w:w="90" w:type="dxa"/>
              <w:left w:w="90" w:type="dxa"/>
              <w:bottom w:w="90" w:type="dxa"/>
              <w:right w:w="90" w:type="dxa"/>
            </w:tcMar>
            <w:vAlign w:val="center"/>
          </w:tcPr>
          <w:p w14:paraId="49BB8169">
            <w:pPr>
              <w:spacing w:after="0" w:line="276" w:lineRule="auto"/>
            </w:pPr>
            <w:r>
              <w:rPr>
                <w:rFonts w:ascii="微软雅黑" w:hAnsi="微软雅黑" w:eastAsia="微软雅黑"/>
                <w:color w:val="243041"/>
                <w:sz w:val="18"/>
              </w:rPr>
              <w:t>检验、测量、试验和质量判定</w:t>
            </w:r>
          </w:p>
        </w:tc>
        <w:tc>
          <w:tcPr>
            <w:tcW w:w="2340" w:type="dxa"/>
            <w:tcMar>
              <w:top w:w="90" w:type="dxa"/>
              <w:left w:w="90" w:type="dxa"/>
              <w:bottom w:w="90" w:type="dxa"/>
              <w:right w:w="90" w:type="dxa"/>
            </w:tcMar>
            <w:vAlign w:val="center"/>
          </w:tcPr>
          <w:p w14:paraId="5A2D8C1C">
            <w:pPr>
              <w:spacing w:after="0" w:line="276" w:lineRule="auto"/>
            </w:pPr>
            <w:r>
              <w:rPr>
                <w:rFonts w:ascii="微软雅黑" w:hAnsi="微软雅黑" w:eastAsia="微软雅黑"/>
                <w:color w:val="243041"/>
                <w:sz w:val="18"/>
              </w:rPr>
              <w:t>返工概率、工时、测量资源</w:t>
            </w:r>
          </w:p>
        </w:tc>
      </w:tr>
      <w:tr w14:paraId="3E2C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F8FAFC"/>
            <w:tcMar>
              <w:top w:w="90" w:type="dxa"/>
              <w:left w:w="90" w:type="dxa"/>
              <w:bottom w:w="90" w:type="dxa"/>
              <w:right w:w="90" w:type="dxa"/>
            </w:tcMar>
            <w:vAlign w:val="center"/>
          </w:tcPr>
          <w:p w14:paraId="6A240D64">
            <w:pPr>
              <w:spacing w:after="0" w:line="276" w:lineRule="auto"/>
            </w:pPr>
            <w:r>
              <w:rPr>
                <w:rFonts w:ascii="微软雅黑" w:hAnsi="微软雅黑" w:eastAsia="微软雅黑"/>
                <w:color w:val="243041"/>
                <w:sz w:val="18"/>
              </w:rPr>
              <w:t>T</w:t>
            </w:r>
          </w:p>
        </w:tc>
        <w:tc>
          <w:tcPr>
            <w:tcW w:w="2340" w:type="dxa"/>
            <w:shd w:val="clear" w:color="auto" w:fill="F8FAFC"/>
            <w:tcMar>
              <w:top w:w="90" w:type="dxa"/>
              <w:left w:w="90" w:type="dxa"/>
              <w:bottom w:w="90" w:type="dxa"/>
              <w:right w:w="90" w:type="dxa"/>
            </w:tcMar>
            <w:vAlign w:val="center"/>
          </w:tcPr>
          <w:p w14:paraId="2436AF82">
            <w:pPr>
              <w:spacing w:after="0" w:line="276" w:lineRule="auto"/>
            </w:pPr>
            <w:r>
              <w:rPr>
                <w:rFonts w:ascii="微软雅黑" w:hAnsi="微软雅黑" w:eastAsia="微软雅黑"/>
                <w:color w:val="243041"/>
                <w:sz w:val="18"/>
              </w:rPr>
              <w:t>工装 Tooling</w:t>
            </w:r>
          </w:p>
        </w:tc>
        <w:tc>
          <w:tcPr>
            <w:tcW w:w="2340" w:type="dxa"/>
            <w:shd w:val="clear" w:color="auto" w:fill="F8FAFC"/>
            <w:tcMar>
              <w:top w:w="90" w:type="dxa"/>
              <w:left w:w="90" w:type="dxa"/>
              <w:bottom w:w="90" w:type="dxa"/>
              <w:right w:w="90" w:type="dxa"/>
            </w:tcMar>
            <w:vAlign w:val="center"/>
          </w:tcPr>
          <w:p w14:paraId="724C29F2">
            <w:pPr>
              <w:spacing w:after="0" w:line="276" w:lineRule="auto"/>
            </w:pPr>
            <w:r>
              <w:rPr>
                <w:rFonts w:ascii="微软雅黑" w:hAnsi="微软雅黑" w:eastAsia="微软雅黑"/>
                <w:color w:val="243041"/>
                <w:sz w:val="18"/>
              </w:rPr>
              <w:t>工装准备、夹具安装和专用设备作业</w:t>
            </w:r>
          </w:p>
        </w:tc>
        <w:tc>
          <w:tcPr>
            <w:tcW w:w="2340" w:type="dxa"/>
            <w:shd w:val="clear" w:color="auto" w:fill="F8FAFC"/>
            <w:tcMar>
              <w:top w:w="90" w:type="dxa"/>
              <w:left w:w="90" w:type="dxa"/>
              <w:bottom w:w="90" w:type="dxa"/>
              <w:right w:w="90" w:type="dxa"/>
            </w:tcMar>
            <w:vAlign w:val="center"/>
          </w:tcPr>
          <w:p w14:paraId="4F69E6F5">
            <w:pPr>
              <w:spacing w:after="0" w:line="276" w:lineRule="auto"/>
            </w:pPr>
            <w:r>
              <w:rPr>
                <w:rFonts w:ascii="微软雅黑" w:hAnsi="微软雅黑" w:eastAsia="微软雅黑"/>
                <w:color w:val="243041"/>
                <w:sz w:val="18"/>
              </w:rPr>
              <w:t>所需工具、设备容量、工位</w:t>
            </w:r>
          </w:p>
        </w:tc>
      </w:tr>
      <w:tr w14:paraId="0A57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340" w:type="dxa"/>
            <w:tcMar>
              <w:top w:w="90" w:type="dxa"/>
              <w:left w:w="90" w:type="dxa"/>
              <w:bottom w:w="90" w:type="dxa"/>
              <w:right w:w="90" w:type="dxa"/>
            </w:tcMar>
            <w:vAlign w:val="center"/>
          </w:tcPr>
          <w:p w14:paraId="6C7CA1A7">
            <w:pPr>
              <w:spacing w:after="0" w:line="276" w:lineRule="auto"/>
            </w:pPr>
            <w:r>
              <w:rPr>
                <w:rFonts w:ascii="微软雅黑" w:hAnsi="微软雅黑" w:eastAsia="微软雅黑"/>
                <w:color w:val="243041"/>
                <w:sz w:val="18"/>
              </w:rPr>
              <w:t>D</w:t>
            </w:r>
          </w:p>
        </w:tc>
        <w:tc>
          <w:tcPr>
            <w:tcW w:w="2340" w:type="dxa"/>
            <w:tcMar>
              <w:top w:w="90" w:type="dxa"/>
              <w:left w:w="90" w:type="dxa"/>
              <w:bottom w:w="90" w:type="dxa"/>
              <w:right w:w="90" w:type="dxa"/>
            </w:tcMar>
            <w:vAlign w:val="center"/>
          </w:tcPr>
          <w:p w14:paraId="4EB88435">
            <w:pPr>
              <w:spacing w:after="0" w:line="276" w:lineRule="auto"/>
            </w:pPr>
            <w:r>
              <w:rPr>
                <w:rFonts w:ascii="微软雅黑" w:hAnsi="微软雅黑" w:eastAsia="微软雅黑"/>
                <w:color w:val="243041"/>
                <w:sz w:val="18"/>
              </w:rPr>
              <w:t>数据 Data</w:t>
            </w:r>
          </w:p>
        </w:tc>
        <w:tc>
          <w:tcPr>
            <w:tcW w:w="2340" w:type="dxa"/>
            <w:tcMar>
              <w:top w:w="90" w:type="dxa"/>
              <w:left w:w="90" w:type="dxa"/>
              <w:bottom w:w="90" w:type="dxa"/>
              <w:right w:w="90" w:type="dxa"/>
            </w:tcMar>
            <w:vAlign w:val="center"/>
          </w:tcPr>
          <w:p w14:paraId="4D7708A8">
            <w:pPr>
              <w:spacing w:after="0" w:line="276" w:lineRule="auto"/>
            </w:pPr>
            <w:r>
              <w:rPr>
                <w:rFonts w:ascii="微软雅黑" w:hAnsi="微软雅黑" w:eastAsia="微软雅黑"/>
                <w:color w:val="243041"/>
                <w:sz w:val="18"/>
              </w:rPr>
              <w:t>过程记录、参数采集和质量数据归档</w:t>
            </w:r>
          </w:p>
        </w:tc>
        <w:tc>
          <w:tcPr>
            <w:tcW w:w="2340" w:type="dxa"/>
            <w:tcMar>
              <w:top w:w="90" w:type="dxa"/>
              <w:left w:w="90" w:type="dxa"/>
              <w:bottom w:w="90" w:type="dxa"/>
              <w:right w:w="90" w:type="dxa"/>
            </w:tcMar>
            <w:vAlign w:val="center"/>
          </w:tcPr>
          <w:p w14:paraId="44DC80AE">
            <w:pPr>
              <w:spacing w:after="0" w:line="276" w:lineRule="auto"/>
            </w:pPr>
            <w:r>
              <w:rPr>
                <w:rFonts w:ascii="微软雅黑" w:hAnsi="微软雅黑" w:eastAsia="微软雅黑"/>
                <w:color w:val="243041"/>
                <w:sz w:val="18"/>
              </w:rPr>
              <w:t>任务名称、工时、前置节点</w:t>
            </w:r>
          </w:p>
        </w:tc>
      </w:tr>
    </w:tbl>
    <w:p w14:paraId="4A6F31E6">
      <w:pPr>
        <w:spacing w:after="0"/>
      </w:pPr>
    </w:p>
    <w:p w14:paraId="2A96EB3A">
      <w:pPr>
        <w:pStyle w:val="4"/>
        <w:keepNext/>
        <w:keepLines/>
      </w:pPr>
      <w:bookmarkStart w:id="15" w:name="_Toc23358"/>
      <w:r>
        <w:t>4.2 新建、选择和删除节点</w:t>
      </w:r>
      <w:bookmarkEnd w:id="15"/>
    </w:p>
    <w:p w14:paraId="31B09461">
      <w:pPr>
        <w:pStyle w:val="14"/>
        <w:spacing w:after="60" w:line="300" w:lineRule="auto"/>
        <w:ind w:left="425" w:hanging="198"/>
      </w:pPr>
      <w:r>
        <w:rPr>
          <w:rFonts w:ascii="微软雅黑" w:hAnsi="微软雅黑" w:eastAsia="微软雅黑"/>
          <w:sz w:val="21"/>
        </w:rPr>
        <w:t>从左侧节点工具箱按住目标节点类型，将其拖拽到中部 Canvas 画布。</w:t>
      </w:r>
    </w:p>
    <w:p w14:paraId="5E037CDC">
      <w:pPr>
        <w:pStyle w:val="14"/>
        <w:spacing w:after="60" w:line="300" w:lineRule="auto"/>
        <w:ind w:left="425" w:hanging="198"/>
      </w:pPr>
      <w:r>
        <w:rPr>
          <w:rFonts w:ascii="微软雅黑" w:hAnsi="微软雅黑" w:eastAsia="微软雅黑"/>
          <w:sz w:val="21"/>
        </w:rPr>
        <w:t>系统按放置位置生成节点，并分配默认步骤 ID、任务名称和初始属性。</w:t>
      </w:r>
    </w:p>
    <w:p w14:paraId="545F2914">
      <w:pPr>
        <w:pStyle w:val="14"/>
        <w:spacing w:after="60" w:line="300" w:lineRule="auto"/>
        <w:ind w:left="425" w:hanging="198"/>
      </w:pPr>
      <w:r>
        <w:rPr>
          <w:rFonts w:ascii="微软雅黑" w:hAnsi="微软雅黑" w:eastAsia="微软雅黑"/>
          <w:sz w:val="21"/>
        </w:rPr>
        <w:t>单击节点可选中并显示选中状态；拖拽已存在节点可调整其在画布中的位置。</w:t>
      </w:r>
    </w:p>
    <w:p w14:paraId="6D5971AA">
      <w:pPr>
        <w:pStyle w:val="14"/>
        <w:spacing w:after="60" w:line="300" w:lineRule="auto"/>
        <w:ind w:left="425" w:hanging="198"/>
      </w:pPr>
      <w:r>
        <w:rPr>
          <w:rFonts w:ascii="微软雅黑" w:hAnsi="微软雅黑" w:eastAsia="微软雅黑"/>
          <w:sz w:val="21"/>
        </w:rPr>
        <w:t>选中节点后使用删除命令可删除节点；系统同时清理与该节点关联的连线。</w:t>
      </w:r>
    </w:p>
    <w:p w14:paraId="08642476">
      <w:pPr>
        <w:pStyle w:val="14"/>
        <w:spacing w:after="60" w:line="300" w:lineRule="auto"/>
        <w:ind w:left="425" w:hanging="198"/>
      </w:pPr>
      <w:r>
        <w:rPr>
          <w:rFonts w:ascii="微软雅黑" w:hAnsi="微软雅黑" w:eastAsia="微软雅黑"/>
          <w:sz w:val="21"/>
        </w:rPr>
        <w:t>节点数和连线数在侧栏统计区同步更新，用于快速检查流程规模。</w:t>
      </w:r>
    </w:p>
    <w:p w14:paraId="3B37AC0B">
      <w:pPr>
        <w:pStyle w:val="4"/>
        <w:keepNext/>
        <w:keepLines/>
      </w:pPr>
      <w:bookmarkStart w:id="16" w:name="_Toc142"/>
      <w:r>
        <w:t>4.3 建立工艺先后约束</w:t>
      </w:r>
      <w:bookmarkEnd w:id="16"/>
    </w:p>
    <w:p w14:paraId="769AD3DF">
      <w:pPr>
        <w:spacing w:after="80" w:line="324" w:lineRule="auto"/>
        <w:ind w:firstLine="420"/>
        <w:rPr>
          <w:rFonts w:ascii="微软雅黑" w:hAnsi="微软雅黑" w:eastAsia="微软雅黑"/>
          <w:sz w:val="22"/>
        </w:rPr>
      </w:pPr>
      <w:r>
        <w:rPr>
          <w:rFonts w:ascii="微软雅黑" w:hAnsi="微软雅黑" w:eastAsia="微软雅黑"/>
          <w:sz w:val="22"/>
        </w:rPr>
        <w:t>用户从前置节点向后续节点执行右键拖拽，系统创建一条有向依赖边。依赖边表示后续工序只能在全部前置工序完成后进入就绪状态。一个节点可连接多个后续节点形成并行分支，也可接收多个前置节点形成汇聚关系，从而表达航空发动机模块并行装配后总装集成的复杂工艺结构。</w:t>
      </w:r>
    </w:p>
    <w:p w14:paraId="70A36D1B">
      <w:pPr>
        <w:pStyle w:val="4"/>
        <w:keepNext/>
        <w:keepLines/>
      </w:pPr>
      <w:bookmarkStart w:id="17" w:name="_Toc14263"/>
      <w:r>
        <w:t>4.4 节点属性编辑</w:t>
      </w:r>
      <w:bookmarkEnd w:id="17"/>
    </w:p>
    <w:p w14:paraId="3A2AF817">
      <w:pPr>
        <w:spacing w:after="80" w:line="324" w:lineRule="auto"/>
        <w:ind w:firstLine="420"/>
      </w:pPr>
      <w:r>
        <w:rPr>
          <w:rFonts w:ascii="微软雅黑" w:hAnsi="微软雅黑" w:eastAsia="微软雅黑"/>
          <w:sz w:val="22"/>
        </w:rPr>
        <w:t>双击节点后打开属性编辑弹窗，用户可维护步骤 ID、操作类型、任务名称、标准工时、时间方差、负荷评分、返工概率、所需工人数、所需工具、所属工位和前置节点。保存时系统执行必填项、数值范围、步骤 ID 唯一性和工位选择校验。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24E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0" w:type="dxa"/>
            <w:shd w:val="clear" w:color="auto" w:fill="17324D"/>
            <w:tcMar>
              <w:top w:w="90" w:type="dxa"/>
              <w:left w:w="90" w:type="dxa"/>
              <w:bottom w:w="90" w:type="dxa"/>
              <w:right w:w="90" w:type="dxa"/>
            </w:tcMar>
            <w:vAlign w:val="center"/>
          </w:tcPr>
          <w:p w14:paraId="64C4BEFC">
            <w:pPr>
              <w:spacing w:after="0"/>
              <w:jc w:val="center"/>
            </w:pPr>
            <w:r>
              <w:rPr>
                <w:rFonts w:ascii="微软雅黑" w:hAnsi="微软雅黑" w:eastAsia="微软雅黑"/>
                <w:b/>
                <w:color w:val="FFFFFF"/>
                <w:sz w:val="16"/>
              </w:rPr>
              <w:t>属性</w:t>
            </w:r>
          </w:p>
        </w:tc>
        <w:tc>
          <w:tcPr>
            <w:tcW w:w="2100" w:type="dxa"/>
            <w:shd w:val="clear" w:color="auto" w:fill="17324D"/>
            <w:tcMar>
              <w:top w:w="90" w:type="dxa"/>
              <w:left w:w="90" w:type="dxa"/>
              <w:bottom w:w="90" w:type="dxa"/>
              <w:right w:w="90" w:type="dxa"/>
            </w:tcMar>
            <w:vAlign w:val="center"/>
          </w:tcPr>
          <w:p w14:paraId="5A5F0F57">
            <w:pPr>
              <w:spacing w:after="0"/>
              <w:jc w:val="center"/>
            </w:pPr>
            <w:r>
              <w:rPr>
                <w:rFonts w:ascii="微软雅黑" w:hAnsi="微软雅黑" w:eastAsia="微软雅黑"/>
                <w:b/>
                <w:color w:val="FFFFFF"/>
                <w:sz w:val="16"/>
              </w:rPr>
              <w:t>含义</w:t>
            </w:r>
          </w:p>
        </w:tc>
        <w:tc>
          <w:tcPr>
            <w:tcW w:w="2500" w:type="dxa"/>
            <w:shd w:val="clear" w:color="auto" w:fill="17324D"/>
            <w:tcMar>
              <w:top w:w="90" w:type="dxa"/>
              <w:left w:w="90" w:type="dxa"/>
              <w:bottom w:w="90" w:type="dxa"/>
              <w:right w:w="90" w:type="dxa"/>
            </w:tcMar>
            <w:vAlign w:val="center"/>
          </w:tcPr>
          <w:p w14:paraId="34A856B3">
            <w:pPr>
              <w:spacing w:after="0"/>
              <w:jc w:val="center"/>
            </w:pPr>
            <w:r>
              <w:rPr>
                <w:rFonts w:ascii="微软雅黑" w:hAnsi="微软雅黑" w:eastAsia="微软雅黑"/>
                <w:b/>
                <w:color w:val="FFFFFF"/>
                <w:sz w:val="16"/>
              </w:rPr>
              <w:t>格式/约束</w:t>
            </w:r>
          </w:p>
        </w:tc>
        <w:tc>
          <w:tcPr>
            <w:tcW w:w="3460" w:type="dxa"/>
            <w:shd w:val="clear" w:color="auto" w:fill="17324D"/>
            <w:tcMar>
              <w:top w:w="90" w:type="dxa"/>
              <w:left w:w="90" w:type="dxa"/>
              <w:bottom w:w="90" w:type="dxa"/>
              <w:right w:w="90" w:type="dxa"/>
            </w:tcMar>
            <w:vAlign w:val="center"/>
          </w:tcPr>
          <w:p w14:paraId="4412CEBE">
            <w:pPr>
              <w:spacing w:after="0"/>
              <w:jc w:val="center"/>
            </w:pPr>
            <w:r>
              <w:rPr>
                <w:rFonts w:ascii="微软雅黑" w:hAnsi="微软雅黑" w:eastAsia="微软雅黑"/>
                <w:b/>
                <w:color w:val="FFFFFF"/>
                <w:sz w:val="16"/>
              </w:rPr>
              <w:t>仿真作用</w:t>
            </w:r>
          </w:p>
        </w:tc>
      </w:tr>
      <w:tr w14:paraId="0076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90" w:type="dxa"/>
              <w:left w:w="90" w:type="dxa"/>
              <w:bottom w:w="90" w:type="dxa"/>
              <w:right w:w="90" w:type="dxa"/>
            </w:tcMar>
            <w:vAlign w:val="center"/>
          </w:tcPr>
          <w:p w14:paraId="34EA42A9">
            <w:pPr>
              <w:spacing w:after="0" w:line="276" w:lineRule="auto"/>
            </w:pPr>
            <w:r>
              <w:rPr>
                <w:rFonts w:ascii="微软雅黑" w:hAnsi="微软雅黑" w:eastAsia="微软雅黑"/>
                <w:color w:val="243041"/>
                <w:sz w:val="16"/>
              </w:rPr>
              <w:t>步骤 ID</w:t>
            </w:r>
          </w:p>
        </w:tc>
        <w:tc>
          <w:tcPr>
            <w:tcW w:w="2100" w:type="dxa"/>
            <w:tcMar>
              <w:top w:w="90" w:type="dxa"/>
              <w:left w:w="90" w:type="dxa"/>
              <w:bottom w:w="90" w:type="dxa"/>
              <w:right w:w="90" w:type="dxa"/>
            </w:tcMar>
            <w:vAlign w:val="center"/>
          </w:tcPr>
          <w:p w14:paraId="2B5953F3">
            <w:pPr>
              <w:spacing w:after="0" w:line="276" w:lineRule="auto"/>
            </w:pPr>
            <w:r>
              <w:rPr>
                <w:rFonts w:ascii="微软雅黑" w:hAnsi="微软雅黑" w:eastAsia="微软雅黑"/>
                <w:color w:val="243041"/>
                <w:sz w:val="16"/>
              </w:rPr>
              <w:t>工序全局唯一标识</w:t>
            </w:r>
          </w:p>
        </w:tc>
        <w:tc>
          <w:tcPr>
            <w:tcW w:w="2500" w:type="dxa"/>
            <w:tcMar>
              <w:top w:w="90" w:type="dxa"/>
              <w:left w:w="90" w:type="dxa"/>
              <w:bottom w:w="90" w:type="dxa"/>
              <w:right w:w="90" w:type="dxa"/>
            </w:tcMar>
            <w:vAlign w:val="center"/>
          </w:tcPr>
          <w:p w14:paraId="05F3D970">
            <w:pPr>
              <w:spacing w:after="0" w:line="276" w:lineRule="auto"/>
            </w:pPr>
            <w:r>
              <w:rPr>
                <w:rFonts w:ascii="微软雅黑" w:hAnsi="微软雅黑" w:eastAsia="微软雅黑"/>
                <w:color w:val="243041"/>
                <w:sz w:val="16"/>
              </w:rPr>
              <w:t>字符串，不能为空且不可重复</w:t>
            </w:r>
          </w:p>
        </w:tc>
        <w:tc>
          <w:tcPr>
            <w:tcW w:w="3460" w:type="dxa"/>
            <w:tcMar>
              <w:top w:w="90" w:type="dxa"/>
              <w:left w:w="90" w:type="dxa"/>
              <w:bottom w:w="90" w:type="dxa"/>
              <w:right w:w="90" w:type="dxa"/>
            </w:tcMar>
            <w:vAlign w:val="center"/>
          </w:tcPr>
          <w:p w14:paraId="4F7C28D3">
            <w:pPr>
              <w:spacing w:after="0" w:line="276" w:lineRule="auto"/>
            </w:pPr>
            <w:r>
              <w:rPr>
                <w:rFonts w:ascii="微软雅黑" w:hAnsi="微软雅黑" w:eastAsia="微软雅黑"/>
                <w:color w:val="243041"/>
                <w:sz w:val="16"/>
              </w:rPr>
              <w:t>建立依赖、事件追踪和甘特图标识</w:t>
            </w:r>
          </w:p>
        </w:tc>
      </w:tr>
      <w:tr w14:paraId="1A5D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8FAFC"/>
            <w:tcMar>
              <w:top w:w="90" w:type="dxa"/>
              <w:left w:w="90" w:type="dxa"/>
              <w:bottom w:w="90" w:type="dxa"/>
              <w:right w:w="90" w:type="dxa"/>
            </w:tcMar>
            <w:vAlign w:val="center"/>
          </w:tcPr>
          <w:p w14:paraId="2E16CFB7">
            <w:pPr>
              <w:spacing w:after="0" w:line="276" w:lineRule="auto"/>
            </w:pPr>
            <w:r>
              <w:rPr>
                <w:rFonts w:ascii="微软雅黑" w:hAnsi="微软雅黑" w:eastAsia="微软雅黑"/>
                <w:color w:val="243041"/>
                <w:sz w:val="16"/>
              </w:rPr>
              <w:t>任务名称</w:t>
            </w:r>
          </w:p>
        </w:tc>
        <w:tc>
          <w:tcPr>
            <w:tcW w:w="2100" w:type="dxa"/>
            <w:shd w:val="clear" w:color="auto" w:fill="F8FAFC"/>
            <w:tcMar>
              <w:top w:w="90" w:type="dxa"/>
              <w:left w:w="90" w:type="dxa"/>
              <w:bottom w:w="90" w:type="dxa"/>
              <w:right w:w="90" w:type="dxa"/>
            </w:tcMar>
            <w:vAlign w:val="center"/>
          </w:tcPr>
          <w:p w14:paraId="3D9CB28A">
            <w:pPr>
              <w:spacing w:after="0" w:line="276" w:lineRule="auto"/>
            </w:pPr>
            <w:r>
              <w:rPr>
                <w:rFonts w:ascii="微软雅黑" w:hAnsi="微软雅黑" w:eastAsia="微软雅黑"/>
                <w:color w:val="243041"/>
                <w:sz w:val="16"/>
              </w:rPr>
              <w:t>工序业务名称</w:t>
            </w:r>
          </w:p>
        </w:tc>
        <w:tc>
          <w:tcPr>
            <w:tcW w:w="2500" w:type="dxa"/>
            <w:shd w:val="clear" w:color="auto" w:fill="F8FAFC"/>
            <w:tcMar>
              <w:top w:w="90" w:type="dxa"/>
              <w:left w:w="90" w:type="dxa"/>
              <w:bottom w:w="90" w:type="dxa"/>
              <w:right w:w="90" w:type="dxa"/>
            </w:tcMar>
            <w:vAlign w:val="center"/>
          </w:tcPr>
          <w:p w14:paraId="5CBD78C3">
            <w:pPr>
              <w:spacing w:after="0" w:line="276" w:lineRule="auto"/>
            </w:pPr>
            <w:r>
              <w:rPr>
                <w:rFonts w:ascii="微软雅黑" w:hAnsi="微软雅黑" w:eastAsia="微软雅黑"/>
                <w:color w:val="243041"/>
                <w:sz w:val="16"/>
              </w:rPr>
              <w:t>字符串</w:t>
            </w:r>
          </w:p>
        </w:tc>
        <w:tc>
          <w:tcPr>
            <w:tcW w:w="3460" w:type="dxa"/>
            <w:shd w:val="clear" w:color="auto" w:fill="F8FAFC"/>
            <w:tcMar>
              <w:top w:w="90" w:type="dxa"/>
              <w:left w:w="90" w:type="dxa"/>
              <w:bottom w:w="90" w:type="dxa"/>
              <w:right w:w="90" w:type="dxa"/>
            </w:tcMar>
            <w:vAlign w:val="center"/>
          </w:tcPr>
          <w:p w14:paraId="51F39B6E">
            <w:pPr>
              <w:spacing w:after="0" w:line="276" w:lineRule="auto"/>
            </w:pPr>
            <w:r>
              <w:rPr>
                <w:rFonts w:ascii="微软雅黑" w:hAnsi="微软雅黑" w:eastAsia="微软雅黑"/>
                <w:color w:val="243041"/>
                <w:sz w:val="16"/>
              </w:rPr>
              <w:t>报表、提示和甘特图显示</w:t>
            </w:r>
          </w:p>
        </w:tc>
      </w:tr>
      <w:tr w14:paraId="3C06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90" w:type="dxa"/>
              <w:left w:w="90" w:type="dxa"/>
              <w:bottom w:w="90" w:type="dxa"/>
              <w:right w:w="90" w:type="dxa"/>
            </w:tcMar>
            <w:vAlign w:val="center"/>
          </w:tcPr>
          <w:p w14:paraId="3255A401">
            <w:pPr>
              <w:spacing w:after="0" w:line="276" w:lineRule="auto"/>
            </w:pPr>
            <w:r>
              <w:rPr>
                <w:rFonts w:ascii="微软雅黑" w:hAnsi="微软雅黑" w:eastAsia="微软雅黑"/>
                <w:color w:val="243041"/>
                <w:sz w:val="16"/>
              </w:rPr>
              <w:t>操作类型</w:t>
            </w:r>
          </w:p>
        </w:tc>
        <w:tc>
          <w:tcPr>
            <w:tcW w:w="2100" w:type="dxa"/>
            <w:tcMar>
              <w:top w:w="90" w:type="dxa"/>
              <w:left w:w="90" w:type="dxa"/>
              <w:bottom w:w="90" w:type="dxa"/>
              <w:right w:w="90" w:type="dxa"/>
            </w:tcMar>
            <w:vAlign w:val="center"/>
          </w:tcPr>
          <w:p w14:paraId="502D7357">
            <w:pPr>
              <w:spacing w:after="0" w:line="276" w:lineRule="auto"/>
            </w:pPr>
            <w:r>
              <w:rPr>
                <w:rFonts w:ascii="微软雅黑" w:hAnsi="微软雅黑" w:eastAsia="微软雅黑"/>
                <w:color w:val="243041"/>
                <w:sz w:val="16"/>
              </w:rPr>
              <w:t>H/A/M/T/D 五类</w:t>
            </w:r>
          </w:p>
        </w:tc>
        <w:tc>
          <w:tcPr>
            <w:tcW w:w="2500" w:type="dxa"/>
            <w:tcMar>
              <w:top w:w="90" w:type="dxa"/>
              <w:left w:w="90" w:type="dxa"/>
              <w:bottom w:w="90" w:type="dxa"/>
              <w:right w:w="90" w:type="dxa"/>
            </w:tcMar>
            <w:vAlign w:val="center"/>
          </w:tcPr>
          <w:p w14:paraId="4CF2767E">
            <w:pPr>
              <w:spacing w:after="0" w:line="276" w:lineRule="auto"/>
            </w:pPr>
            <w:r>
              <w:rPr>
                <w:rFonts w:ascii="微软雅黑" w:hAnsi="微软雅黑" w:eastAsia="微软雅黑"/>
                <w:color w:val="243041"/>
                <w:sz w:val="16"/>
              </w:rPr>
              <w:t>枚举</w:t>
            </w:r>
          </w:p>
        </w:tc>
        <w:tc>
          <w:tcPr>
            <w:tcW w:w="3460" w:type="dxa"/>
            <w:tcMar>
              <w:top w:w="90" w:type="dxa"/>
              <w:left w:w="90" w:type="dxa"/>
              <w:bottom w:w="90" w:type="dxa"/>
              <w:right w:w="90" w:type="dxa"/>
            </w:tcMar>
            <w:vAlign w:val="center"/>
          </w:tcPr>
          <w:p w14:paraId="3FE1E978">
            <w:pPr>
              <w:spacing w:after="0" w:line="276" w:lineRule="auto"/>
            </w:pPr>
            <w:r>
              <w:rPr>
                <w:rFonts w:ascii="微软雅黑" w:hAnsi="微软雅黑" w:eastAsia="微软雅黑"/>
                <w:color w:val="243041"/>
                <w:sz w:val="16"/>
              </w:rPr>
              <w:t>决定节点语义和质量逻辑</w:t>
            </w:r>
          </w:p>
        </w:tc>
      </w:tr>
      <w:tr w14:paraId="5334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8FAFC"/>
            <w:tcMar>
              <w:top w:w="90" w:type="dxa"/>
              <w:left w:w="90" w:type="dxa"/>
              <w:bottom w:w="90" w:type="dxa"/>
              <w:right w:w="90" w:type="dxa"/>
            </w:tcMar>
            <w:vAlign w:val="center"/>
          </w:tcPr>
          <w:p w14:paraId="6AA4AEDA">
            <w:pPr>
              <w:spacing w:after="0" w:line="276" w:lineRule="auto"/>
            </w:pPr>
            <w:r>
              <w:rPr>
                <w:rFonts w:ascii="微软雅黑" w:hAnsi="微软雅黑" w:eastAsia="微软雅黑"/>
                <w:color w:val="243041"/>
                <w:sz w:val="16"/>
              </w:rPr>
              <w:t>标准工时</w:t>
            </w:r>
          </w:p>
        </w:tc>
        <w:tc>
          <w:tcPr>
            <w:tcW w:w="2100" w:type="dxa"/>
            <w:shd w:val="clear" w:color="auto" w:fill="F8FAFC"/>
            <w:tcMar>
              <w:top w:w="90" w:type="dxa"/>
              <w:left w:w="90" w:type="dxa"/>
              <w:bottom w:w="90" w:type="dxa"/>
              <w:right w:w="90" w:type="dxa"/>
            </w:tcMar>
            <w:vAlign w:val="center"/>
          </w:tcPr>
          <w:p w14:paraId="6674D095">
            <w:pPr>
              <w:spacing w:after="0" w:line="276" w:lineRule="auto"/>
            </w:pPr>
            <w:r>
              <w:rPr>
                <w:rFonts w:ascii="微软雅黑" w:hAnsi="微软雅黑" w:eastAsia="微软雅黑"/>
                <w:color w:val="243041"/>
                <w:sz w:val="16"/>
              </w:rPr>
              <w:t>基准作业时长</w:t>
            </w:r>
          </w:p>
        </w:tc>
        <w:tc>
          <w:tcPr>
            <w:tcW w:w="2500" w:type="dxa"/>
            <w:shd w:val="clear" w:color="auto" w:fill="F8FAFC"/>
            <w:tcMar>
              <w:top w:w="90" w:type="dxa"/>
              <w:left w:w="90" w:type="dxa"/>
              <w:bottom w:w="90" w:type="dxa"/>
              <w:right w:w="90" w:type="dxa"/>
            </w:tcMar>
            <w:vAlign w:val="center"/>
          </w:tcPr>
          <w:p w14:paraId="1B821898">
            <w:pPr>
              <w:spacing w:after="0" w:line="276" w:lineRule="auto"/>
            </w:pPr>
            <w:r>
              <w:rPr>
                <w:rFonts w:ascii="微软雅黑" w:hAnsi="微软雅黑" w:eastAsia="微软雅黑"/>
                <w:color w:val="243041"/>
                <w:sz w:val="16"/>
              </w:rPr>
              <w:t>分钟，正数</w:t>
            </w:r>
          </w:p>
        </w:tc>
        <w:tc>
          <w:tcPr>
            <w:tcW w:w="3460" w:type="dxa"/>
            <w:shd w:val="clear" w:color="auto" w:fill="F8FAFC"/>
            <w:tcMar>
              <w:top w:w="90" w:type="dxa"/>
              <w:left w:w="90" w:type="dxa"/>
              <w:bottom w:w="90" w:type="dxa"/>
              <w:right w:w="90" w:type="dxa"/>
            </w:tcMar>
            <w:vAlign w:val="center"/>
          </w:tcPr>
          <w:p w14:paraId="626C0989">
            <w:pPr>
              <w:spacing w:after="0" w:line="276" w:lineRule="auto"/>
            </w:pPr>
            <w:r>
              <w:rPr>
                <w:rFonts w:ascii="微软雅黑" w:hAnsi="微软雅黑" w:eastAsia="微软雅黑"/>
                <w:color w:val="243041"/>
                <w:sz w:val="16"/>
              </w:rPr>
              <w:t>计算实际执行时间</w:t>
            </w:r>
          </w:p>
        </w:tc>
      </w:tr>
      <w:tr w14:paraId="067F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90" w:type="dxa"/>
              <w:left w:w="90" w:type="dxa"/>
              <w:bottom w:w="90" w:type="dxa"/>
              <w:right w:w="90" w:type="dxa"/>
            </w:tcMar>
            <w:vAlign w:val="center"/>
          </w:tcPr>
          <w:p w14:paraId="59BF3D70">
            <w:pPr>
              <w:spacing w:after="0" w:line="276" w:lineRule="auto"/>
            </w:pPr>
            <w:r>
              <w:rPr>
                <w:rFonts w:ascii="微软雅黑" w:hAnsi="微软雅黑" w:eastAsia="微软雅黑"/>
                <w:color w:val="243041"/>
                <w:sz w:val="16"/>
              </w:rPr>
              <w:t>时间方差</w:t>
            </w:r>
          </w:p>
        </w:tc>
        <w:tc>
          <w:tcPr>
            <w:tcW w:w="2100" w:type="dxa"/>
            <w:tcMar>
              <w:top w:w="90" w:type="dxa"/>
              <w:left w:w="90" w:type="dxa"/>
              <w:bottom w:w="90" w:type="dxa"/>
              <w:right w:w="90" w:type="dxa"/>
            </w:tcMar>
            <w:vAlign w:val="center"/>
          </w:tcPr>
          <w:p w14:paraId="6E8E5169">
            <w:pPr>
              <w:spacing w:after="0" w:line="276" w:lineRule="auto"/>
            </w:pPr>
            <w:r>
              <w:rPr>
                <w:rFonts w:ascii="微软雅黑" w:hAnsi="微软雅黑" w:eastAsia="微软雅黑"/>
                <w:color w:val="243041"/>
                <w:sz w:val="16"/>
              </w:rPr>
              <w:t>工时随机波动</w:t>
            </w:r>
          </w:p>
        </w:tc>
        <w:tc>
          <w:tcPr>
            <w:tcW w:w="2500" w:type="dxa"/>
            <w:tcMar>
              <w:top w:w="90" w:type="dxa"/>
              <w:left w:w="90" w:type="dxa"/>
              <w:bottom w:w="90" w:type="dxa"/>
              <w:right w:w="90" w:type="dxa"/>
            </w:tcMar>
            <w:vAlign w:val="center"/>
          </w:tcPr>
          <w:p w14:paraId="058151AD">
            <w:pPr>
              <w:spacing w:after="0" w:line="276" w:lineRule="auto"/>
            </w:pPr>
            <w:r>
              <w:rPr>
                <w:rFonts w:ascii="微软雅黑" w:hAnsi="微软雅黑" w:eastAsia="微软雅黑"/>
                <w:color w:val="243041"/>
                <w:sz w:val="16"/>
              </w:rPr>
              <w:t>非负数</w:t>
            </w:r>
          </w:p>
        </w:tc>
        <w:tc>
          <w:tcPr>
            <w:tcW w:w="3460" w:type="dxa"/>
            <w:tcMar>
              <w:top w:w="90" w:type="dxa"/>
              <w:left w:w="90" w:type="dxa"/>
              <w:bottom w:w="90" w:type="dxa"/>
              <w:right w:w="90" w:type="dxa"/>
            </w:tcMar>
            <w:vAlign w:val="center"/>
          </w:tcPr>
          <w:p w14:paraId="2E0CAB79">
            <w:pPr>
              <w:spacing w:after="0" w:line="276" w:lineRule="auto"/>
            </w:pPr>
            <w:r>
              <w:rPr>
                <w:rFonts w:ascii="微软雅黑" w:hAnsi="微软雅黑" w:eastAsia="微软雅黑"/>
                <w:color w:val="243041"/>
                <w:sz w:val="16"/>
              </w:rPr>
              <w:t>模拟人工和过程不确定性</w:t>
            </w:r>
          </w:p>
        </w:tc>
      </w:tr>
      <w:tr w14:paraId="796B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8FAFC"/>
            <w:tcMar>
              <w:top w:w="90" w:type="dxa"/>
              <w:left w:w="90" w:type="dxa"/>
              <w:bottom w:w="90" w:type="dxa"/>
              <w:right w:w="90" w:type="dxa"/>
            </w:tcMar>
            <w:vAlign w:val="center"/>
          </w:tcPr>
          <w:p w14:paraId="23D23FD7">
            <w:pPr>
              <w:spacing w:after="0" w:line="276" w:lineRule="auto"/>
            </w:pPr>
            <w:r>
              <w:rPr>
                <w:rFonts w:ascii="微软雅黑" w:hAnsi="微软雅黑" w:eastAsia="微软雅黑"/>
                <w:color w:val="243041"/>
                <w:sz w:val="16"/>
              </w:rPr>
              <w:t>负荷评分</w:t>
            </w:r>
          </w:p>
        </w:tc>
        <w:tc>
          <w:tcPr>
            <w:tcW w:w="2100" w:type="dxa"/>
            <w:shd w:val="clear" w:color="auto" w:fill="F8FAFC"/>
            <w:tcMar>
              <w:top w:w="90" w:type="dxa"/>
              <w:left w:w="90" w:type="dxa"/>
              <w:bottom w:w="90" w:type="dxa"/>
              <w:right w:w="90" w:type="dxa"/>
            </w:tcMar>
            <w:vAlign w:val="center"/>
          </w:tcPr>
          <w:p w14:paraId="74018665">
            <w:pPr>
              <w:spacing w:after="0" w:line="276" w:lineRule="auto"/>
            </w:pPr>
            <w:r>
              <w:rPr>
                <w:rFonts w:ascii="微软雅黑" w:hAnsi="微软雅黑" w:eastAsia="微软雅黑"/>
                <w:color w:val="243041"/>
                <w:sz w:val="16"/>
              </w:rPr>
              <w:t>REBA 人体工学负荷</w:t>
            </w:r>
          </w:p>
        </w:tc>
        <w:tc>
          <w:tcPr>
            <w:tcW w:w="2500" w:type="dxa"/>
            <w:shd w:val="clear" w:color="auto" w:fill="F8FAFC"/>
            <w:tcMar>
              <w:top w:w="90" w:type="dxa"/>
              <w:left w:w="90" w:type="dxa"/>
              <w:bottom w:w="90" w:type="dxa"/>
              <w:right w:w="90" w:type="dxa"/>
            </w:tcMar>
            <w:vAlign w:val="center"/>
          </w:tcPr>
          <w:p w14:paraId="4A67F553">
            <w:pPr>
              <w:spacing w:after="0" w:line="276" w:lineRule="auto"/>
            </w:pPr>
            <w:r>
              <w:rPr>
                <w:rFonts w:ascii="微软雅黑" w:hAnsi="微软雅黑" w:eastAsia="微软雅黑"/>
                <w:color w:val="243041"/>
                <w:sz w:val="16"/>
              </w:rPr>
              <w:t>1至10</w:t>
            </w:r>
          </w:p>
        </w:tc>
        <w:tc>
          <w:tcPr>
            <w:tcW w:w="3460" w:type="dxa"/>
            <w:shd w:val="clear" w:color="auto" w:fill="F8FAFC"/>
            <w:tcMar>
              <w:top w:w="90" w:type="dxa"/>
              <w:left w:w="90" w:type="dxa"/>
              <w:bottom w:w="90" w:type="dxa"/>
              <w:right w:w="90" w:type="dxa"/>
            </w:tcMar>
            <w:vAlign w:val="center"/>
          </w:tcPr>
          <w:p w14:paraId="602870B6">
            <w:pPr>
              <w:spacing w:after="0" w:line="276" w:lineRule="auto"/>
            </w:pPr>
            <w:r>
              <w:rPr>
                <w:rFonts w:ascii="微软雅黑" w:hAnsi="微软雅黑" w:eastAsia="微软雅黑"/>
                <w:color w:val="243041"/>
                <w:sz w:val="16"/>
              </w:rPr>
              <w:t>疲劳积累和负荷休息判定</w:t>
            </w:r>
          </w:p>
        </w:tc>
      </w:tr>
      <w:tr w14:paraId="60C8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90" w:type="dxa"/>
              <w:left w:w="90" w:type="dxa"/>
              <w:bottom w:w="90" w:type="dxa"/>
              <w:right w:w="90" w:type="dxa"/>
            </w:tcMar>
            <w:vAlign w:val="center"/>
          </w:tcPr>
          <w:p w14:paraId="6D8330EB">
            <w:pPr>
              <w:spacing w:after="0" w:line="276" w:lineRule="auto"/>
            </w:pPr>
            <w:r>
              <w:rPr>
                <w:rFonts w:ascii="微软雅黑" w:hAnsi="微软雅黑" w:eastAsia="微软雅黑"/>
                <w:color w:val="243041"/>
                <w:sz w:val="16"/>
              </w:rPr>
              <w:t>返工概率</w:t>
            </w:r>
          </w:p>
        </w:tc>
        <w:tc>
          <w:tcPr>
            <w:tcW w:w="2100" w:type="dxa"/>
            <w:tcMar>
              <w:top w:w="90" w:type="dxa"/>
              <w:left w:w="90" w:type="dxa"/>
              <w:bottom w:w="90" w:type="dxa"/>
              <w:right w:w="90" w:type="dxa"/>
            </w:tcMar>
            <w:vAlign w:val="center"/>
          </w:tcPr>
          <w:p w14:paraId="1E9C6685">
            <w:pPr>
              <w:spacing w:after="0" w:line="276" w:lineRule="auto"/>
            </w:pPr>
            <w:r>
              <w:rPr>
                <w:rFonts w:ascii="微软雅黑" w:hAnsi="微软雅黑" w:eastAsia="微软雅黑"/>
                <w:color w:val="243041"/>
                <w:sz w:val="16"/>
              </w:rPr>
              <w:t>测量/检验失败概率</w:t>
            </w:r>
          </w:p>
        </w:tc>
        <w:tc>
          <w:tcPr>
            <w:tcW w:w="2500" w:type="dxa"/>
            <w:tcMar>
              <w:top w:w="90" w:type="dxa"/>
              <w:left w:w="90" w:type="dxa"/>
              <w:bottom w:w="90" w:type="dxa"/>
              <w:right w:w="90" w:type="dxa"/>
            </w:tcMar>
            <w:vAlign w:val="center"/>
          </w:tcPr>
          <w:p w14:paraId="1AEE57E3">
            <w:pPr>
              <w:spacing w:after="0" w:line="276" w:lineRule="auto"/>
            </w:pPr>
            <w:r>
              <w:rPr>
                <w:rFonts w:ascii="微软雅黑" w:hAnsi="微软雅黑" w:eastAsia="微软雅黑"/>
                <w:color w:val="243041"/>
                <w:sz w:val="16"/>
              </w:rPr>
              <w:t>0至1</w:t>
            </w:r>
          </w:p>
        </w:tc>
        <w:tc>
          <w:tcPr>
            <w:tcW w:w="3460" w:type="dxa"/>
            <w:tcMar>
              <w:top w:w="90" w:type="dxa"/>
              <w:left w:w="90" w:type="dxa"/>
              <w:bottom w:w="90" w:type="dxa"/>
              <w:right w:w="90" w:type="dxa"/>
            </w:tcMar>
            <w:vAlign w:val="center"/>
          </w:tcPr>
          <w:p w14:paraId="7A92CFD9">
            <w:pPr>
              <w:spacing w:after="0" w:line="276" w:lineRule="auto"/>
            </w:pPr>
            <w:r>
              <w:rPr>
                <w:rFonts w:ascii="微软雅黑" w:hAnsi="微软雅黑" w:eastAsia="微软雅黑"/>
                <w:color w:val="243041"/>
                <w:sz w:val="16"/>
              </w:rPr>
              <w:t>触发返工事件和重排队</w:t>
            </w:r>
          </w:p>
        </w:tc>
      </w:tr>
      <w:tr w14:paraId="6E90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8FAFC"/>
            <w:tcMar>
              <w:top w:w="90" w:type="dxa"/>
              <w:left w:w="90" w:type="dxa"/>
              <w:bottom w:w="90" w:type="dxa"/>
              <w:right w:w="90" w:type="dxa"/>
            </w:tcMar>
            <w:vAlign w:val="center"/>
          </w:tcPr>
          <w:p w14:paraId="51573B92">
            <w:pPr>
              <w:spacing w:after="0" w:line="276" w:lineRule="auto"/>
            </w:pPr>
            <w:r>
              <w:rPr>
                <w:rFonts w:ascii="微软雅黑" w:hAnsi="微软雅黑" w:eastAsia="微软雅黑"/>
                <w:color w:val="243041"/>
                <w:sz w:val="16"/>
              </w:rPr>
              <w:t>所需工人数</w:t>
            </w:r>
          </w:p>
        </w:tc>
        <w:tc>
          <w:tcPr>
            <w:tcW w:w="2100" w:type="dxa"/>
            <w:shd w:val="clear" w:color="auto" w:fill="F8FAFC"/>
            <w:tcMar>
              <w:top w:w="90" w:type="dxa"/>
              <w:left w:w="90" w:type="dxa"/>
              <w:bottom w:w="90" w:type="dxa"/>
              <w:right w:w="90" w:type="dxa"/>
            </w:tcMar>
            <w:vAlign w:val="center"/>
          </w:tcPr>
          <w:p w14:paraId="3AA9CA3B">
            <w:pPr>
              <w:spacing w:after="0" w:line="276" w:lineRule="auto"/>
            </w:pPr>
            <w:r>
              <w:rPr>
                <w:rFonts w:ascii="微软雅黑" w:hAnsi="微软雅黑" w:eastAsia="微软雅黑"/>
                <w:color w:val="243041"/>
                <w:sz w:val="16"/>
              </w:rPr>
              <w:t>任务并行占用人数</w:t>
            </w:r>
          </w:p>
        </w:tc>
        <w:tc>
          <w:tcPr>
            <w:tcW w:w="2500" w:type="dxa"/>
            <w:shd w:val="clear" w:color="auto" w:fill="F8FAFC"/>
            <w:tcMar>
              <w:top w:w="90" w:type="dxa"/>
              <w:left w:w="90" w:type="dxa"/>
              <w:bottom w:w="90" w:type="dxa"/>
              <w:right w:w="90" w:type="dxa"/>
            </w:tcMar>
            <w:vAlign w:val="center"/>
          </w:tcPr>
          <w:p w14:paraId="5182D358">
            <w:pPr>
              <w:spacing w:after="0" w:line="276" w:lineRule="auto"/>
            </w:pPr>
            <w:r>
              <w:rPr>
                <w:rFonts w:ascii="微软雅黑" w:hAnsi="微软雅黑" w:eastAsia="微软雅黑"/>
                <w:color w:val="243041"/>
                <w:sz w:val="16"/>
              </w:rPr>
              <w:t>正整数</w:t>
            </w:r>
          </w:p>
        </w:tc>
        <w:tc>
          <w:tcPr>
            <w:tcW w:w="3460" w:type="dxa"/>
            <w:shd w:val="clear" w:color="auto" w:fill="F8FAFC"/>
            <w:tcMar>
              <w:top w:w="90" w:type="dxa"/>
              <w:left w:w="90" w:type="dxa"/>
              <w:bottom w:w="90" w:type="dxa"/>
              <w:right w:w="90" w:type="dxa"/>
            </w:tcMar>
            <w:vAlign w:val="center"/>
          </w:tcPr>
          <w:p w14:paraId="50365208">
            <w:pPr>
              <w:spacing w:after="0" w:line="276" w:lineRule="auto"/>
            </w:pPr>
            <w:r>
              <w:rPr>
                <w:rFonts w:ascii="微软雅黑" w:hAnsi="微软雅黑" w:eastAsia="微软雅黑"/>
                <w:color w:val="243041"/>
                <w:sz w:val="16"/>
              </w:rPr>
              <w:t>工人池资源申请</w:t>
            </w:r>
          </w:p>
        </w:tc>
      </w:tr>
      <w:tr w14:paraId="0D4C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90" w:type="dxa"/>
              <w:left w:w="90" w:type="dxa"/>
              <w:bottom w:w="90" w:type="dxa"/>
              <w:right w:w="90" w:type="dxa"/>
            </w:tcMar>
            <w:vAlign w:val="center"/>
          </w:tcPr>
          <w:p w14:paraId="4913DD64">
            <w:pPr>
              <w:spacing w:after="0" w:line="276" w:lineRule="auto"/>
            </w:pPr>
            <w:r>
              <w:rPr>
                <w:rFonts w:ascii="微软雅黑" w:hAnsi="微软雅黑" w:eastAsia="微软雅黑"/>
                <w:color w:val="243041"/>
                <w:sz w:val="16"/>
              </w:rPr>
              <w:t>所需工具</w:t>
            </w:r>
          </w:p>
        </w:tc>
        <w:tc>
          <w:tcPr>
            <w:tcW w:w="2100" w:type="dxa"/>
            <w:tcMar>
              <w:top w:w="90" w:type="dxa"/>
              <w:left w:w="90" w:type="dxa"/>
              <w:bottom w:w="90" w:type="dxa"/>
              <w:right w:w="90" w:type="dxa"/>
            </w:tcMar>
            <w:vAlign w:val="center"/>
          </w:tcPr>
          <w:p w14:paraId="02376842">
            <w:pPr>
              <w:spacing w:after="0" w:line="276" w:lineRule="auto"/>
            </w:pPr>
            <w:r>
              <w:rPr>
                <w:rFonts w:ascii="微软雅黑" w:hAnsi="微软雅黑" w:eastAsia="微软雅黑"/>
                <w:color w:val="243041"/>
                <w:sz w:val="16"/>
              </w:rPr>
              <w:t>关键设备名称</w:t>
            </w:r>
          </w:p>
        </w:tc>
        <w:tc>
          <w:tcPr>
            <w:tcW w:w="2500" w:type="dxa"/>
            <w:tcMar>
              <w:top w:w="90" w:type="dxa"/>
              <w:left w:w="90" w:type="dxa"/>
              <w:bottom w:w="90" w:type="dxa"/>
              <w:right w:w="90" w:type="dxa"/>
            </w:tcMar>
            <w:vAlign w:val="center"/>
          </w:tcPr>
          <w:p w14:paraId="44C02458">
            <w:pPr>
              <w:spacing w:after="0" w:line="276" w:lineRule="auto"/>
            </w:pPr>
            <w:r>
              <w:rPr>
                <w:rFonts w:ascii="微软雅黑" w:hAnsi="微软雅黑" w:eastAsia="微软雅黑"/>
                <w:color w:val="243041"/>
                <w:sz w:val="16"/>
              </w:rPr>
              <w:t>可多项，以分隔符保存</w:t>
            </w:r>
          </w:p>
        </w:tc>
        <w:tc>
          <w:tcPr>
            <w:tcW w:w="3460" w:type="dxa"/>
            <w:tcMar>
              <w:top w:w="90" w:type="dxa"/>
              <w:left w:w="90" w:type="dxa"/>
              <w:bottom w:w="90" w:type="dxa"/>
              <w:right w:w="90" w:type="dxa"/>
            </w:tcMar>
            <w:vAlign w:val="center"/>
          </w:tcPr>
          <w:p w14:paraId="319B2B7A">
            <w:pPr>
              <w:spacing w:after="0" w:line="276" w:lineRule="auto"/>
            </w:pPr>
            <w:r>
              <w:rPr>
                <w:rFonts w:ascii="微软雅黑" w:hAnsi="微软雅黑" w:eastAsia="微软雅黑"/>
                <w:color w:val="243041"/>
                <w:sz w:val="16"/>
              </w:rPr>
              <w:t>设备容量和排队约束</w:t>
            </w:r>
          </w:p>
        </w:tc>
      </w:tr>
      <w:tr w14:paraId="16F2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shd w:val="clear" w:color="auto" w:fill="F8FAFC"/>
            <w:tcMar>
              <w:top w:w="90" w:type="dxa"/>
              <w:left w:w="90" w:type="dxa"/>
              <w:bottom w:w="90" w:type="dxa"/>
              <w:right w:w="90" w:type="dxa"/>
            </w:tcMar>
            <w:vAlign w:val="center"/>
          </w:tcPr>
          <w:p w14:paraId="23084060">
            <w:pPr>
              <w:spacing w:after="0" w:line="276" w:lineRule="auto"/>
            </w:pPr>
            <w:r>
              <w:rPr>
                <w:rFonts w:ascii="微软雅黑" w:hAnsi="微软雅黑" w:eastAsia="微软雅黑"/>
                <w:color w:val="243041"/>
                <w:sz w:val="16"/>
              </w:rPr>
              <w:t>所属工位</w:t>
            </w:r>
          </w:p>
        </w:tc>
        <w:tc>
          <w:tcPr>
            <w:tcW w:w="2100" w:type="dxa"/>
            <w:shd w:val="clear" w:color="auto" w:fill="F8FAFC"/>
            <w:tcMar>
              <w:top w:w="90" w:type="dxa"/>
              <w:left w:w="90" w:type="dxa"/>
              <w:bottom w:w="90" w:type="dxa"/>
              <w:right w:w="90" w:type="dxa"/>
            </w:tcMar>
            <w:vAlign w:val="center"/>
          </w:tcPr>
          <w:p w14:paraId="7907C162">
            <w:pPr>
              <w:spacing w:after="0" w:line="276" w:lineRule="auto"/>
            </w:pPr>
            <w:r>
              <w:rPr>
                <w:rFonts w:ascii="微软雅黑" w:hAnsi="微软雅黑" w:eastAsia="微软雅黑"/>
                <w:color w:val="243041"/>
                <w:sz w:val="16"/>
              </w:rPr>
              <w:t>物理/逻辑作业区域</w:t>
            </w:r>
          </w:p>
        </w:tc>
        <w:tc>
          <w:tcPr>
            <w:tcW w:w="2500" w:type="dxa"/>
            <w:shd w:val="clear" w:color="auto" w:fill="F8FAFC"/>
            <w:tcMar>
              <w:top w:w="90" w:type="dxa"/>
              <w:left w:w="90" w:type="dxa"/>
              <w:bottom w:w="90" w:type="dxa"/>
              <w:right w:w="90" w:type="dxa"/>
            </w:tcMar>
            <w:vAlign w:val="center"/>
          </w:tcPr>
          <w:p w14:paraId="019BEEEF">
            <w:pPr>
              <w:spacing w:after="0" w:line="276" w:lineRule="auto"/>
            </w:pPr>
            <w:r>
              <w:rPr>
                <w:rFonts w:ascii="微软雅黑" w:hAnsi="微软雅黑" w:eastAsia="微软雅黑"/>
                <w:color w:val="243041"/>
                <w:sz w:val="16"/>
              </w:rPr>
              <w:t>ST01等工位代码</w:t>
            </w:r>
          </w:p>
        </w:tc>
        <w:tc>
          <w:tcPr>
            <w:tcW w:w="3460" w:type="dxa"/>
            <w:shd w:val="clear" w:color="auto" w:fill="F8FAFC"/>
            <w:tcMar>
              <w:top w:w="90" w:type="dxa"/>
              <w:left w:w="90" w:type="dxa"/>
              <w:bottom w:w="90" w:type="dxa"/>
              <w:right w:w="90" w:type="dxa"/>
            </w:tcMar>
            <w:vAlign w:val="center"/>
          </w:tcPr>
          <w:p w14:paraId="31A1C5A0">
            <w:pPr>
              <w:spacing w:after="0" w:line="276" w:lineRule="auto"/>
            </w:pPr>
            <w:r>
              <w:rPr>
                <w:rFonts w:ascii="微软雅黑" w:hAnsi="微软雅黑" w:eastAsia="微软雅黑"/>
                <w:color w:val="243041"/>
                <w:sz w:val="16"/>
              </w:rPr>
              <w:t>工位聚合、串行约束和流转分析</w:t>
            </w:r>
          </w:p>
        </w:tc>
      </w:tr>
      <w:tr w14:paraId="7D71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tcMar>
              <w:top w:w="90" w:type="dxa"/>
              <w:left w:w="90" w:type="dxa"/>
              <w:bottom w:w="90" w:type="dxa"/>
              <w:right w:w="90" w:type="dxa"/>
            </w:tcMar>
            <w:vAlign w:val="center"/>
          </w:tcPr>
          <w:p w14:paraId="405D00F5">
            <w:pPr>
              <w:spacing w:after="0" w:line="276" w:lineRule="auto"/>
            </w:pPr>
            <w:r>
              <w:rPr>
                <w:rFonts w:ascii="微软雅黑" w:hAnsi="微软雅黑" w:eastAsia="微软雅黑"/>
                <w:color w:val="243041"/>
                <w:sz w:val="16"/>
              </w:rPr>
              <w:t>前置节点</w:t>
            </w:r>
          </w:p>
        </w:tc>
        <w:tc>
          <w:tcPr>
            <w:tcW w:w="2100" w:type="dxa"/>
            <w:tcMar>
              <w:top w:w="90" w:type="dxa"/>
              <w:left w:w="90" w:type="dxa"/>
              <w:bottom w:w="90" w:type="dxa"/>
              <w:right w:w="90" w:type="dxa"/>
            </w:tcMar>
            <w:vAlign w:val="center"/>
          </w:tcPr>
          <w:p w14:paraId="03567A3E">
            <w:pPr>
              <w:spacing w:after="0" w:line="276" w:lineRule="auto"/>
            </w:pPr>
            <w:r>
              <w:rPr>
                <w:rFonts w:ascii="微软雅黑" w:hAnsi="微软雅黑" w:eastAsia="微软雅黑"/>
                <w:color w:val="243041"/>
                <w:sz w:val="16"/>
              </w:rPr>
              <w:t>必须先完成的步骤</w:t>
            </w:r>
          </w:p>
        </w:tc>
        <w:tc>
          <w:tcPr>
            <w:tcW w:w="2500" w:type="dxa"/>
            <w:tcMar>
              <w:top w:w="90" w:type="dxa"/>
              <w:left w:w="90" w:type="dxa"/>
              <w:bottom w:w="90" w:type="dxa"/>
              <w:right w:w="90" w:type="dxa"/>
            </w:tcMar>
            <w:vAlign w:val="center"/>
          </w:tcPr>
          <w:p w14:paraId="3A6AC60C">
            <w:pPr>
              <w:spacing w:after="0" w:line="276" w:lineRule="auto"/>
            </w:pPr>
            <w:r>
              <w:rPr>
                <w:rFonts w:ascii="微软雅黑" w:hAnsi="微软雅黑" w:eastAsia="微软雅黑"/>
                <w:color w:val="243041"/>
                <w:sz w:val="16"/>
              </w:rPr>
              <w:t>一个或多个步骤 ID</w:t>
            </w:r>
          </w:p>
        </w:tc>
        <w:tc>
          <w:tcPr>
            <w:tcW w:w="3460" w:type="dxa"/>
            <w:tcMar>
              <w:top w:w="90" w:type="dxa"/>
              <w:left w:w="90" w:type="dxa"/>
              <w:bottom w:w="90" w:type="dxa"/>
              <w:right w:w="90" w:type="dxa"/>
            </w:tcMar>
            <w:vAlign w:val="center"/>
          </w:tcPr>
          <w:p w14:paraId="17C1A74E">
            <w:pPr>
              <w:spacing w:after="0" w:line="276" w:lineRule="auto"/>
            </w:pPr>
            <w:r>
              <w:rPr>
                <w:rFonts w:ascii="微软雅黑" w:hAnsi="微软雅黑" w:eastAsia="微软雅黑"/>
                <w:color w:val="243041"/>
                <w:sz w:val="16"/>
              </w:rPr>
              <w:t>构建 DAG 边和动态就绪判断</w:t>
            </w:r>
          </w:p>
        </w:tc>
      </w:tr>
    </w:tbl>
    <w:p w14:paraId="70F160DE">
      <w:pPr>
        <w:spacing w:after="0"/>
        <w:jc w:val="center"/>
      </w:pPr>
      <w:r>
        <w:rPr>
          <w:rFonts w:ascii="宋体" w:hAnsi="宋体" w:eastAsia="宋体" w:cs="宋体"/>
          <w:sz w:val="24"/>
          <w:szCs w:val="24"/>
        </w:rPr>
        <w:drawing>
          <wp:inline distT="0" distB="0" distL="114300" distR="114300">
            <wp:extent cx="2922270" cy="4043045"/>
            <wp:effectExtent l="0" t="0" r="11430" b="8255"/>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10"/>
                    <a:stretch>
                      <a:fillRect/>
                    </a:stretch>
                  </pic:blipFill>
                  <pic:spPr>
                    <a:xfrm>
                      <a:off x="0" y="0"/>
                      <a:ext cx="2922270" cy="4043045"/>
                    </a:xfrm>
                    <a:prstGeom prst="rect">
                      <a:avLst/>
                    </a:prstGeom>
                    <a:noFill/>
                    <a:ln w="9525">
                      <a:noFill/>
                    </a:ln>
                  </pic:spPr>
                </pic:pic>
              </a:graphicData>
            </a:graphic>
          </wp:inline>
        </w:drawing>
      </w:r>
    </w:p>
    <w:p w14:paraId="1F8F44B2">
      <w:pPr>
        <w:jc w:val="center"/>
        <w:rPr>
          <w:rFonts w:ascii="微软雅黑" w:hAnsi="微软雅黑" w:eastAsia="微软雅黑"/>
          <w:color w:val="5B6675"/>
          <w:sz w:val="18"/>
        </w:rPr>
      </w:pPr>
    </w:p>
    <w:p w14:paraId="4C447426">
      <w:pPr>
        <w:jc w:val="center"/>
      </w:pPr>
      <w:r>
        <w:rPr>
          <w:rFonts w:ascii="微软雅黑" w:hAnsi="微软雅黑" w:eastAsia="微软雅黑"/>
          <w:color w:val="5B6675"/>
          <w:sz w:val="18"/>
        </w:rPr>
        <w:t>图 4-1  节点属性编辑弹窗</w:t>
      </w:r>
    </w:p>
    <w:p w14:paraId="2FBC7B6E">
      <w:pPr>
        <w:pStyle w:val="4"/>
        <w:keepNext/>
        <w:keepLines/>
      </w:pPr>
      <w:bookmarkStart w:id="18" w:name="_Toc604"/>
      <w:r>
        <w:t>4.5 自动布局、工位视图和筛选</w:t>
      </w:r>
      <w:bookmarkEnd w:id="18"/>
    </w:p>
    <w:p w14:paraId="3462E7C3">
      <w:pPr>
        <w:spacing w:after="80" w:line="324" w:lineRule="auto"/>
        <w:ind w:firstLine="420"/>
      </w:pPr>
      <w:r>
        <w:rPr>
          <w:rFonts w:ascii="微软雅黑" w:hAnsi="微软雅黑" w:eastAsia="微软雅黑"/>
          <w:sz w:val="22"/>
        </w:rPr>
        <w:t>自动布局功能根据工艺依赖关系重新计算节点位置，减少连线交叉。工位视图按节点所属工位绘制区域容器，便于观察模块装配和跨工位物流。工位筛选可聚焦指定区域并弱化其他节点，适合检查单一模块的局部工艺。</w:t>
      </w:r>
    </w:p>
    <w:p w14:paraId="16241991">
      <w:pPr>
        <w:spacing w:before="40" w:after="40"/>
        <w:jc w:val="center"/>
      </w:pPr>
      <w:r>
        <w:rPr>
          <w:rFonts w:ascii="宋体" w:hAnsi="宋体" w:eastAsia="宋体" w:cs="宋体"/>
          <w:sz w:val="24"/>
          <w:szCs w:val="24"/>
        </w:rPr>
        <w:drawing>
          <wp:inline distT="0" distB="0" distL="114300" distR="114300">
            <wp:extent cx="5937885" cy="3091815"/>
            <wp:effectExtent l="0" t="0" r="5715" b="6985"/>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11"/>
                    <a:stretch>
                      <a:fillRect/>
                    </a:stretch>
                  </pic:blipFill>
                  <pic:spPr>
                    <a:xfrm>
                      <a:off x="0" y="0"/>
                      <a:ext cx="5937885" cy="3091815"/>
                    </a:xfrm>
                    <a:prstGeom prst="rect">
                      <a:avLst/>
                    </a:prstGeom>
                    <a:noFill/>
                    <a:ln w="9525">
                      <a:noFill/>
                    </a:ln>
                  </pic:spPr>
                </pic:pic>
              </a:graphicData>
            </a:graphic>
          </wp:inline>
        </w:drawing>
      </w:r>
    </w:p>
    <w:p w14:paraId="3505A5C5">
      <w:pPr>
        <w:keepLines/>
        <w:spacing w:after="140"/>
        <w:jc w:val="center"/>
      </w:pPr>
      <w:r>
        <w:rPr>
          <w:rFonts w:ascii="微软雅黑" w:hAnsi="微软雅黑" w:eastAsia="微软雅黑"/>
          <w:color w:val="5B6675"/>
          <w:sz w:val="18"/>
        </w:rPr>
        <w:t>图 4-2  加载复杂示例后的完整工艺画布（79个节点、81条连线）</w:t>
      </w:r>
    </w:p>
    <w:p w14:paraId="64FCCE17">
      <w:pPr>
        <w:spacing w:after="80" w:line="324" w:lineRule="auto"/>
        <w:ind w:firstLine="420"/>
      </w:pPr>
      <w:r>
        <w:rPr>
          <w:rFonts w:ascii="微软雅黑" w:hAnsi="微软雅黑" w:eastAsia="微软雅黑"/>
          <w:sz w:val="22"/>
        </w:rPr>
        <w:t>图 4-2 的复杂示例覆盖进气/支撑、压气机与燃烧室、动力涡轮、减速箱、附件传动、管路预装、总装和试车等模块。各模块并行展开后在总装阶段汇聚，能够验证多源、多分支和多汇聚 DAG 工艺的编辑与显示能力。</w:t>
      </w:r>
    </w:p>
    <w:p w14:paraId="78A0669F">
      <w:pPr>
        <w:pStyle w:val="4"/>
        <w:keepNext/>
        <w:keepLines/>
      </w:pPr>
      <w:bookmarkStart w:id="19" w:name="_Toc25022"/>
      <w:r>
        <w:t>4.6 CSV 导入与导出</w:t>
      </w:r>
      <w:bookmarkEnd w:id="19"/>
    </w:p>
    <w:p w14:paraId="18B1AC6B">
      <w:pPr>
        <w:spacing w:after="80" w:line="324" w:lineRule="auto"/>
        <w:ind w:firstLine="420"/>
      </w:pPr>
      <w:r>
        <w:rPr>
          <w:rFonts w:ascii="微软雅黑" w:hAnsi="微软雅黑" w:eastAsia="微软雅黑"/>
          <w:sz w:val="22"/>
        </w:rPr>
        <w:t>点击顶栏“导入 CSV”后选择符合模板的工艺文件，系统解析每行节点数据、重建前置关系和画布连线；点击“导出 CSV”可将当前节点及依赖关系保存为文件。导入前应确保步骤 ID 唯一、前置节点存在、数值字段合法且关键设备名称与全局配置一致。</w:t>
      </w:r>
    </w:p>
    <w:p w14:paraId="195BA4A2">
      <w:pPr>
        <w:pStyle w:val="3"/>
        <w:keepNext/>
        <w:keepLines/>
      </w:pPr>
      <w:bookmarkStart w:id="20" w:name="_Toc5783"/>
      <w:r>
        <w:t>5 全局参数配置</w:t>
      </w:r>
      <w:bookmarkEnd w:id="20"/>
    </w:p>
    <w:p w14:paraId="6F6851AD">
      <w:pPr>
        <w:pStyle w:val="4"/>
        <w:keepNext/>
        <w:keepLines/>
      </w:pPr>
      <w:bookmarkStart w:id="21" w:name="_Toc3128"/>
      <w:r>
        <w:t>5.1 排班与产量参数</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70B5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shd w:val="clear" w:color="auto" w:fill="17324D"/>
            <w:tcMar>
              <w:top w:w="90" w:type="dxa"/>
              <w:left w:w="90" w:type="dxa"/>
              <w:bottom w:w="90" w:type="dxa"/>
              <w:right w:w="90" w:type="dxa"/>
            </w:tcMar>
            <w:vAlign w:val="center"/>
          </w:tcPr>
          <w:p w14:paraId="11AC7F7A">
            <w:pPr>
              <w:spacing w:after="0"/>
              <w:jc w:val="center"/>
            </w:pPr>
            <w:r>
              <w:rPr>
                <w:rFonts w:ascii="微软雅黑" w:hAnsi="微软雅黑" w:eastAsia="微软雅黑"/>
                <w:b/>
                <w:color w:val="FFFFFF"/>
                <w:sz w:val="18"/>
              </w:rPr>
              <w:t>界面参数</w:t>
            </w:r>
          </w:p>
        </w:tc>
        <w:tc>
          <w:tcPr>
            <w:tcW w:w="2600" w:type="dxa"/>
            <w:shd w:val="clear" w:color="auto" w:fill="17324D"/>
            <w:tcMar>
              <w:top w:w="90" w:type="dxa"/>
              <w:left w:w="90" w:type="dxa"/>
              <w:bottom w:w="90" w:type="dxa"/>
              <w:right w:w="90" w:type="dxa"/>
            </w:tcMar>
            <w:vAlign w:val="center"/>
          </w:tcPr>
          <w:p w14:paraId="395D7B2E">
            <w:pPr>
              <w:spacing w:after="0"/>
              <w:jc w:val="center"/>
            </w:pPr>
            <w:r>
              <w:rPr>
                <w:rFonts w:ascii="微软雅黑" w:hAnsi="微软雅黑" w:eastAsia="微软雅黑"/>
                <w:b/>
                <w:color w:val="FFFFFF"/>
                <w:sz w:val="18"/>
              </w:rPr>
              <w:t>模型字段</w:t>
            </w:r>
          </w:p>
        </w:tc>
        <w:tc>
          <w:tcPr>
            <w:tcW w:w="4560" w:type="dxa"/>
            <w:shd w:val="clear" w:color="auto" w:fill="17324D"/>
            <w:tcMar>
              <w:top w:w="90" w:type="dxa"/>
              <w:left w:w="90" w:type="dxa"/>
              <w:bottom w:w="90" w:type="dxa"/>
              <w:right w:w="90" w:type="dxa"/>
            </w:tcMar>
            <w:vAlign w:val="center"/>
          </w:tcPr>
          <w:p w14:paraId="7E0173A8">
            <w:pPr>
              <w:spacing w:after="0"/>
              <w:jc w:val="center"/>
            </w:pPr>
            <w:r>
              <w:rPr>
                <w:rFonts w:ascii="微软雅黑" w:hAnsi="微软雅黑" w:eastAsia="微软雅黑"/>
                <w:b/>
                <w:color w:val="FFFFFF"/>
                <w:sz w:val="18"/>
              </w:rPr>
              <w:t>说明</w:t>
            </w:r>
          </w:p>
        </w:tc>
      </w:tr>
      <w:tr w14:paraId="2028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Mar>
              <w:top w:w="90" w:type="dxa"/>
              <w:left w:w="90" w:type="dxa"/>
              <w:bottom w:w="90" w:type="dxa"/>
              <w:right w:w="90" w:type="dxa"/>
            </w:tcMar>
            <w:vAlign w:val="center"/>
          </w:tcPr>
          <w:p w14:paraId="0A40DFF9">
            <w:pPr>
              <w:spacing w:after="0" w:line="276" w:lineRule="auto"/>
            </w:pPr>
            <w:r>
              <w:rPr>
                <w:rFonts w:ascii="微软雅黑" w:hAnsi="微软雅黑" w:eastAsia="微软雅黑"/>
                <w:color w:val="243041"/>
                <w:sz w:val="18"/>
              </w:rPr>
              <w:t>每日工作小时数</w:t>
            </w:r>
          </w:p>
        </w:tc>
        <w:tc>
          <w:tcPr>
            <w:tcW w:w="2600" w:type="dxa"/>
            <w:tcMar>
              <w:top w:w="90" w:type="dxa"/>
              <w:left w:w="90" w:type="dxa"/>
              <w:bottom w:w="90" w:type="dxa"/>
              <w:right w:w="90" w:type="dxa"/>
            </w:tcMar>
            <w:vAlign w:val="center"/>
          </w:tcPr>
          <w:p w14:paraId="4ACFDBB3">
            <w:pPr>
              <w:spacing w:after="0" w:line="276" w:lineRule="auto"/>
            </w:pPr>
            <w:r>
              <w:rPr>
                <w:rFonts w:ascii="微软雅黑" w:hAnsi="微软雅黑" w:eastAsia="微软雅黑"/>
                <w:color w:val="243041"/>
                <w:sz w:val="18"/>
              </w:rPr>
              <w:t>work_hours_per_day</w:t>
            </w:r>
          </w:p>
        </w:tc>
        <w:tc>
          <w:tcPr>
            <w:tcW w:w="4560" w:type="dxa"/>
            <w:tcMar>
              <w:top w:w="90" w:type="dxa"/>
              <w:left w:w="90" w:type="dxa"/>
              <w:bottom w:w="90" w:type="dxa"/>
              <w:right w:w="90" w:type="dxa"/>
            </w:tcMar>
            <w:vAlign w:val="center"/>
          </w:tcPr>
          <w:p w14:paraId="21336C96">
            <w:pPr>
              <w:spacing w:after="0" w:line="276" w:lineRule="auto"/>
            </w:pPr>
            <w:r>
              <w:rPr>
                <w:rFonts w:ascii="微软雅黑" w:hAnsi="微软雅黑" w:eastAsia="微软雅黑"/>
                <w:color w:val="243041"/>
                <w:sz w:val="18"/>
              </w:rPr>
              <w:t>定义单个工作日的有效生产时间窗口</w:t>
            </w:r>
          </w:p>
        </w:tc>
      </w:tr>
      <w:tr w14:paraId="120B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8FAFC"/>
            <w:tcMar>
              <w:top w:w="90" w:type="dxa"/>
              <w:left w:w="90" w:type="dxa"/>
              <w:bottom w:w="90" w:type="dxa"/>
              <w:right w:w="90" w:type="dxa"/>
            </w:tcMar>
            <w:vAlign w:val="center"/>
          </w:tcPr>
          <w:p w14:paraId="620944D3">
            <w:pPr>
              <w:spacing w:after="0" w:line="276" w:lineRule="auto"/>
            </w:pPr>
            <w:r>
              <w:rPr>
                <w:rFonts w:ascii="微软雅黑" w:hAnsi="微软雅黑" w:eastAsia="微软雅黑"/>
                <w:color w:val="243041"/>
                <w:sz w:val="18"/>
              </w:rPr>
              <w:t>每月工作天数</w:t>
            </w:r>
          </w:p>
        </w:tc>
        <w:tc>
          <w:tcPr>
            <w:tcW w:w="2600" w:type="dxa"/>
            <w:shd w:val="clear" w:color="auto" w:fill="F8FAFC"/>
            <w:tcMar>
              <w:top w:w="90" w:type="dxa"/>
              <w:left w:w="90" w:type="dxa"/>
              <w:bottom w:w="90" w:type="dxa"/>
              <w:right w:w="90" w:type="dxa"/>
            </w:tcMar>
            <w:vAlign w:val="center"/>
          </w:tcPr>
          <w:p w14:paraId="1817418E">
            <w:pPr>
              <w:spacing w:after="0" w:line="276" w:lineRule="auto"/>
            </w:pPr>
            <w:r>
              <w:rPr>
                <w:rFonts w:ascii="微软雅黑" w:hAnsi="微软雅黑" w:eastAsia="微软雅黑"/>
                <w:color w:val="243041"/>
                <w:sz w:val="18"/>
              </w:rPr>
              <w:t>work_days_per_month</w:t>
            </w:r>
          </w:p>
        </w:tc>
        <w:tc>
          <w:tcPr>
            <w:tcW w:w="4560" w:type="dxa"/>
            <w:shd w:val="clear" w:color="auto" w:fill="F8FAFC"/>
            <w:tcMar>
              <w:top w:w="90" w:type="dxa"/>
              <w:left w:w="90" w:type="dxa"/>
              <w:bottom w:w="90" w:type="dxa"/>
              <w:right w:w="90" w:type="dxa"/>
            </w:tcMar>
            <w:vAlign w:val="center"/>
          </w:tcPr>
          <w:p w14:paraId="70336A61">
            <w:pPr>
              <w:spacing w:after="0" w:line="276" w:lineRule="auto"/>
            </w:pPr>
            <w:r>
              <w:rPr>
                <w:rFonts w:ascii="微软雅黑" w:hAnsi="微软雅黑" w:eastAsia="微软雅黑"/>
                <w:color w:val="243041"/>
                <w:sz w:val="18"/>
              </w:rPr>
              <w:t>与每日工时共同确定月度仿真时间范围</w:t>
            </w:r>
          </w:p>
        </w:tc>
      </w:tr>
      <w:tr w14:paraId="163E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tcMar>
              <w:top w:w="90" w:type="dxa"/>
              <w:left w:w="90" w:type="dxa"/>
              <w:bottom w:w="90" w:type="dxa"/>
              <w:right w:w="90" w:type="dxa"/>
            </w:tcMar>
            <w:vAlign w:val="center"/>
          </w:tcPr>
          <w:p w14:paraId="3C5EEE92">
            <w:pPr>
              <w:spacing w:after="0" w:line="276" w:lineRule="auto"/>
            </w:pPr>
            <w:r>
              <w:rPr>
                <w:rFonts w:ascii="微软雅黑" w:hAnsi="微软雅黑" w:eastAsia="微软雅黑"/>
                <w:color w:val="243041"/>
                <w:sz w:val="18"/>
              </w:rPr>
              <w:t>工人资源数量</w:t>
            </w:r>
          </w:p>
        </w:tc>
        <w:tc>
          <w:tcPr>
            <w:tcW w:w="2600" w:type="dxa"/>
            <w:tcMar>
              <w:top w:w="90" w:type="dxa"/>
              <w:left w:w="90" w:type="dxa"/>
              <w:bottom w:w="90" w:type="dxa"/>
              <w:right w:w="90" w:type="dxa"/>
            </w:tcMar>
            <w:vAlign w:val="center"/>
          </w:tcPr>
          <w:p w14:paraId="38C85472">
            <w:pPr>
              <w:spacing w:after="0" w:line="276" w:lineRule="auto"/>
            </w:pPr>
            <w:r>
              <w:rPr>
                <w:rFonts w:ascii="微软雅黑" w:hAnsi="微软雅黑" w:eastAsia="微软雅黑"/>
                <w:color w:val="243041"/>
                <w:sz w:val="18"/>
              </w:rPr>
              <w:t>num_workers</w:t>
            </w:r>
          </w:p>
        </w:tc>
        <w:tc>
          <w:tcPr>
            <w:tcW w:w="4560" w:type="dxa"/>
            <w:tcMar>
              <w:top w:w="90" w:type="dxa"/>
              <w:left w:w="90" w:type="dxa"/>
              <w:bottom w:w="90" w:type="dxa"/>
              <w:right w:w="90" w:type="dxa"/>
            </w:tcMar>
            <w:vAlign w:val="center"/>
          </w:tcPr>
          <w:p w14:paraId="11707C5C">
            <w:pPr>
              <w:spacing w:after="0" w:line="276" w:lineRule="auto"/>
            </w:pPr>
            <w:r>
              <w:rPr>
                <w:rFonts w:ascii="微软雅黑" w:hAnsi="微软雅黑" w:eastAsia="微软雅黑"/>
                <w:color w:val="243041"/>
                <w:sz w:val="18"/>
              </w:rPr>
              <w:t>决定可同时执行人工任务的最大规模</w:t>
            </w:r>
          </w:p>
        </w:tc>
      </w:tr>
      <w:tr w14:paraId="722F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8FAFC"/>
            <w:tcMar>
              <w:top w:w="90" w:type="dxa"/>
              <w:left w:w="90" w:type="dxa"/>
              <w:bottom w:w="90" w:type="dxa"/>
              <w:right w:w="90" w:type="dxa"/>
            </w:tcMar>
            <w:vAlign w:val="center"/>
          </w:tcPr>
          <w:p w14:paraId="10D9FCDB">
            <w:pPr>
              <w:spacing w:after="0" w:line="276" w:lineRule="auto"/>
            </w:pPr>
            <w:r>
              <w:rPr>
                <w:rFonts w:ascii="微软雅黑" w:hAnsi="微软雅黑" w:eastAsia="微软雅黑"/>
                <w:color w:val="243041"/>
                <w:sz w:val="18"/>
              </w:rPr>
              <w:t>目标月产量</w:t>
            </w:r>
          </w:p>
        </w:tc>
        <w:tc>
          <w:tcPr>
            <w:tcW w:w="2600" w:type="dxa"/>
            <w:shd w:val="clear" w:color="auto" w:fill="F8FAFC"/>
            <w:tcMar>
              <w:top w:w="90" w:type="dxa"/>
              <w:left w:w="90" w:type="dxa"/>
              <w:bottom w:w="90" w:type="dxa"/>
              <w:right w:w="90" w:type="dxa"/>
            </w:tcMar>
            <w:vAlign w:val="center"/>
          </w:tcPr>
          <w:p w14:paraId="79163D8F">
            <w:pPr>
              <w:spacing w:after="0" w:line="276" w:lineRule="auto"/>
            </w:pPr>
            <w:r>
              <w:rPr>
                <w:rFonts w:ascii="微软雅黑" w:hAnsi="微软雅黑" w:eastAsia="微软雅黑"/>
                <w:color w:val="243041"/>
                <w:sz w:val="18"/>
              </w:rPr>
              <w:t>target_output</w:t>
            </w:r>
          </w:p>
        </w:tc>
        <w:tc>
          <w:tcPr>
            <w:tcW w:w="4560" w:type="dxa"/>
            <w:shd w:val="clear" w:color="auto" w:fill="F8FAFC"/>
            <w:tcMar>
              <w:top w:w="90" w:type="dxa"/>
              <w:left w:w="90" w:type="dxa"/>
              <w:bottom w:w="90" w:type="dxa"/>
              <w:right w:w="90" w:type="dxa"/>
            </w:tcMar>
            <w:vAlign w:val="center"/>
          </w:tcPr>
          <w:p w14:paraId="3AD13419">
            <w:pPr>
              <w:spacing w:after="0" w:line="276" w:lineRule="auto"/>
            </w:pPr>
            <w:r>
              <w:rPr>
                <w:rFonts w:ascii="微软雅黑" w:hAnsi="微软雅黑" w:eastAsia="微软雅黑"/>
                <w:color w:val="243041"/>
                <w:sz w:val="18"/>
              </w:rPr>
              <w:t>作为计划达成率 KPI 的比较基准</w:t>
            </w:r>
          </w:p>
        </w:tc>
      </w:tr>
    </w:tbl>
    <w:p w14:paraId="051F0CF5">
      <w:pPr>
        <w:spacing w:after="0"/>
      </w:pPr>
    </w:p>
    <w:p w14:paraId="5E5379B4">
      <w:pPr>
        <w:pStyle w:val="4"/>
        <w:keepNext/>
        <w:keepLines/>
      </w:pPr>
      <w:bookmarkStart w:id="22" w:name="_Toc1861"/>
      <w:r>
        <w:t>5.2 关键设备和并发容量</w:t>
      </w:r>
      <w:bookmarkEnd w:id="22"/>
    </w:p>
    <w:p w14:paraId="228F3D5B">
      <w:pPr>
        <w:spacing w:after="80" w:line="324" w:lineRule="auto"/>
        <w:ind w:firstLine="420"/>
      </w:pPr>
      <w:r>
        <w:rPr>
          <w:rFonts w:ascii="微软雅黑" w:hAnsi="微软雅黑" w:eastAsia="微软雅黑"/>
          <w:sz w:val="22"/>
        </w:rPr>
        <w:t>关键设备区以“设备名称 + 数量”的形式维护瓶颈资源。用户可动态新增试车台、动平衡机、氦质谱检测系统等设备，也可删除不参与当前场景的设备。设备数量被转换为 SimPy 资源容量；当多个任务同时申请同一设备且容量不足时，后到任务进入等待队列。</w:t>
      </w:r>
    </w:p>
    <w:p w14:paraId="41F5EACD">
      <w:pPr>
        <w:pStyle w:val="4"/>
        <w:keepNext/>
        <w:keepLines/>
      </w:pPr>
      <w:bookmarkStart w:id="23" w:name="_Toc30981"/>
      <w:r>
        <w:t>5.3 生产组织模式</w:t>
      </w:r>
      <w:bookmarkEnd w:id="23"/>
    </w:p>
    <w:p w14:paraId="76E1FC33">
      <w:pPr>
        <w:pStyle w:val="16"/>
        <w:spacing w:after="40" w:line="288" w:lineRule="auto"/>
        <w:ind w:left="312" w:hanging="142"/>
      </w:pPr>
      <w:r>
        <w:rPr>
          <w:rFonts w:ascii="微软雅黑" w:hAnsi="微软雅黑" w:eastAsia="微软雅黑"/>
          <w:sz w:val="21"/>
        </w:rPr>
        <w:t>流水线模式：允许多台发动机按计划并行投放，模拟实际流水生产。</w:t>
      </w:r>
    </w:p>
    <w:p w14:paraId="649F413A">
      <w:pPr>
        <w:pStyle w:val="16"/>
        <w:spacing w:after="40" w:line="288" w:lineRule="auto"/>
        <w:ind w:left="312" w:hanging="142"/>
      </w:pPr>
      <w:r>
        <w:rPr>
          <w:rFonts w:ascii="微软雅黑" w:hAnsi="微软雅黑" w:eastAsia="微软雅黑"/>
          <w:sz w:val="21"/>
        </w:rPr>
        <w:t>平滑启动：对不同发动机设置错峰开始时间，避免全部任务在仿真起点集中争抢资源。</w:t>
      </w:r>
    </w:p>
    <w:p w14:paraId="5FBF8AE8">
      <w:pPr>
        <w:pStyle w:val="16"/>
        <w:spacing w:after="40" w:line="288" w:lineRule="auto"/>
        <w:ind w:left="312" w:hanging="142"/>
      </w:pPr>
      <w:r>
        <w:rPr>
          <w:rFonts w:ascii="微软雅黑" w:hAnsi="微软雅黑" w:eastAsia="微软雅黑"/>
          <w:sz w:val="21"/>
        </w:rPr>
        <w:t>工位资源限制：开启后，同一工位作为容量为1的资源，同一时刻仅允许一个相关任务执行。</w:t>
      </w:r>
    </w:p>
    <w:p w14:paraId="141CE6F4">
      <w:pPr>
        <w:pStyle w:val="4"/>
        <w:keepNext/>
        <w:keepLines/>
      </w:pPr>
      <w:bookmarkStart w:id="24" w:name="_Toc22273"/>
      <w:r>
        <w:t>5.4 人因疲劳休息规则</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2B8C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0" w:type="dxa"/>
            <w:shd w:val="clear" w:color="auto" w:fill="17324D"/>
            <w:tcMar>
              <w:top w:w="90" w:type="dxa"/>
              <w:left w:w="90" w:type="dxa"/>
              <w:bottom w:w="90" w:type="dxa"/>
              <w:right w:w="90" w:type="dxa"/>
            </w:tcMar>
            <w:vAlign w:val="center"/>
          </w:tcPr>
          <w:p w14:paraId="6EED68F2">
            <w:pPr>
              <w:spacing w:after="0"/>
              <w:jc w:val="center"/>
            </w:pPr>
            <w:r>
              <w:rPr>
                <w:rFonts w:ascii="微软雅黑" w:hAnsi="微软雅黑" w:eastAsia="微软雅黑"/>
                <w:b/>
                <w:color w:val="FFFFFF"/>
                <w:sz w:val="18"/>
              </w:rPr>
              <w:t>参数</w:t>
            </w:r>
          </w:p>
        </w:tc>
        <w:tc>
          <w:tcPr>
            <w:tcW w:w="3500" w:type="dxa"/>
            <w:shd w:val="clear" w:color="auto" w:fill="17324D"/>
            <w:tcMar>
              <w:top w:w="90" w:type="dxa"/>
              <w:left w:w="90" w:type="dxa"/>
              <w:bottom w:w="90" w:type="dxa"/>
              <w:right w:w="90" w:type="dxa"/>
            </w:tcMar>
            <w:vAlign w:val="center"/>
          </w:tcPr>
          <w:p w14:paraId="14381ADC">
            <w:pPr>
              <w:spacing w:after="0"/>
              <w:jc w:val="center"/>
            </w:pPr>
            <w:r>
              <w:rPr>
                <w:rFonts w:ascii="微软雅黑" w:hAnsi="微软雅黑" w:eastAsia="微软雅黑"/>
                <w:b/>
                <w:color w:val="FFFFFF"/>
                <w:sz w:val="18"/>
              </w:rPr>
              <w:t>作用</w:t>
            </w:r>
          </w:p>
        </w:tc>
        <w:tc>
          <w:tcPr>
            <w:tcW w:w="3560" w:type="dxa"/>
            <w:shd w:val="clear" w:color="auto" w:fill="17324D"/>
            <w:tcMar>
              <w:top w:w="90" w:type="dxa"/>
              <w:left w:w="90" w:type="dxa"/>
              <w:bottom w:w="90" w:type="dxa"/>
              <w:right w:w="90" w:type="dxa"/>
            </w:tcMar>
            <w:vAlign w:val="center"/>
          </w:tcPr>
          <w:p w14:paraId="66C562BE">
            <w:pPr>
              <w:spacing w:after="0"/>
              <w:jc w:val="center"/>
            </w:pPr>
            <w:r>
              <w:rPr>
                <w:rFonts w:ascii="微软雅黑" w:hAnsi="微软雅黑" w:eastAsia="微软雅黑"/>
                <w:b/>
                <w:color w:val="FFFFFF"/>
                <w:sz w:val="18"/>
              </w:rPr>
              <w:t>触发结果</w:t>
            </w:r>
          </w:p>
        </w:tc>
      </w:tr>
      <w:tr w14:paraId="4EAA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Mar>
              <w:top w:w="90" w:type="dxa"/>
              <w:left w:w="90" w:type="dxa"/>
              <w:bottom w:w="90" w:type="dxa"/>
              <w:right w:w="90" w:type="dxa"/>
            </w:tcMar>
            <w:vAlign w:val="center"/>
          </w:tcPr>
          <w:p w14:paraId="7EB2862F">
            <w:pPr>
              <w:spacing w:after="0" w:line="276" w:lineRule="auto"/>
            </w:pPr>
            <w:r>
              <w:rPr>
                <w:rFonts w:ascii="微软雅黑" w:hAnsi="微软雅黑" w:eastAsia="微软雅黑"/>
                <w:color w:val="243041"/>
                <w:sz w:val="18"/>
              </w:rPr>
              <w:t>连续工作触发阈值</w:t>
            </w:r>
          </w:p>
        </w:tc>
        <w:tc>
          <w:tcPr>
            <w:tcW w:w="3500" w:type="dxa"/>
            <w:tcMar>
              <w:top w:w="90" w:type="dxa"/>
              <w:left w:w="90" w:type="dxa"/>
              <w:bottom w:w="90" w:type="dxa"/>
              <w:right w:w="90" w:type="dxa"/>
            </w:tcMar>
            <w:vAlign w:val="center"/>
          </w:tcPr>
          <w:p w14:paraId="6FA2CB0B">
            <w:pPr>
              <w:spacing w:after="0" w:line="276" w:lineRule="auto"/>
            </w:pPr>
            <w:r>
              <w:rPr>
                <w:rFonts w:ascii="微软雅黑" w:hAnsi="微软雅黑" w:eastAsia="微软雅黑"/>
                <w:color w:val="243041"/>
                <w:sz w:val="18"/>
              </w:rPr>
              <w:t>限制单名工人的连续工作时间</w:t>
            </w:r>
          </w:p>
        </w:tc>
        <w:tc>
          <w:tcPr>
            <w:tcW w:w="3560" w:type="dxa"/>
            <w:tcMar>
              <w:top w:w="90" w:type="dxa"/>
              <w:left w:w="90" w:type="dxa"/>
              <w:bottom w:w="90" w:type="dxa"/>
              <w:right w:w="90" w:type="dxa"/>
            </w:tcMar>
            <w:vAlign w:val="center"/>
          </w:tcPr>
          <w:p w14:paraId="3694A33C">
            <w:pPr>
              <w:spacing w:after="0" w:line="276" w:lineRule="auto"/>
            </w:pPr>
            <w:r>
              <w:rPr>
                <w:rFonts w:ascii="微软雅黑" w:hAnsi="微软雅黑" w:eastAsia="微软雅黑"/>
                <w:color w:val="243041"/>
                <w:sz w:val="18"/>
              </w:rPr>
              <w:t>达到阈值后插入时间性休息</w:t>
            </w:r>
          </w:p>
        </w:tc>
      </w:tr>
      <w:tr w14:paraId="6969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shd w:val="clear" w:color="auto" w:fill="F8FAFC"/>
            <w:tcMar>
              <w:top w:w="90" w:type="dxa"/>
              <w:left w:w="90" w:type="dxa"/>
              <w:bottom w:w="90" w:type="dxa"/>
              <w:right w:w="90" w:type="dxa"/>
            </w:tcMar>
            <w:vAlign w:val="center"/>
          </w:tcPr>
          <w:p w14:paraId="28DBD5BC">
            <w:pPr>
              <w:spacing w:after="0" w:line="276" w:lineRule="auto"/>
            </w:pPr>
            <w:r>
              <w:rPr>
                <w:rFonts w:ascii="微软雅黑" w:hAnsi="微软雅黑" w:eastAsia="微软雅黑"/>
                <w:color w:val="243041"/>
                <w:sz w:val="18"/>
              </w:rPr>
              <w:t>时间触发休息时长</w:t>
            </w:r>
          </w:p>
        </w:tc>
        <w:tc>
          <w:tcPr>
            <w:tcW w:w="3500" w:type="dxa"/>
            <w:shd w:val="clear" w:color="auto" w:fill="F8FAFC"/>
            <w:tcMar>
              <w:top w:w="90" w:type="dxa"/>
              <w:left w:w="90" w:type="dxa"/>
              <w:bottom w:w="90" w:type="dxa"/>
              <w:right w:w="90" w:type="dxa"/>
            </w:tcMar>
            <w:vAlign w:val="center"/>
          </w:tcPr>
          <w:p w14:paraId="77CC22B4">
            <w:pPr>
              <w:spacing w:after="0" w:line="276" w:lineRule="auto"/>
            </w:pPr>
            <w:r>
              <w:rPr>
                <w:rFonts w:ascii="微软雅黑" w:hAnsi="微软雅黑" w:eastAsia="微软雅黑"/>
                <w:color w:val="243041"/>
                <w:sz w:val="18"/>
              </w:rPr>
              <w:t>设定时间性休息持续分钟数</w:t>
            </w:r>
          </w:p>
        </w:tc>
        <w:tc>
          <w:tcPr>
            <w:tcW w:w="3560" w:type="dxa"/>
            <w:shd w:val="clear" w:color="auto" w:fill="F8FAFC"/>
            <w:tcMar>
              <w:top w:w="90" w:type="dxa"/>
              <w:left w:w="90" w:type="dxa"/>
              <w:bottom w:w="90" w:type="dxa"/>
              <w:right w:w="90" w:type="dxa"/>
            </w:tcMar>
            <w:vAlign w:val="center"/>
          </w:tcPr>
          <w:p w14:paraId="5194008B">
            <w:pPr>
              <w:spacing w:after="0" w:line="276" w:lineRule="auto"/>
            </w:pPr>
            <w:r>
              <w:rPr>
                <w:rFonts w:ascii="微软雅黑" w:hAnsi="微软雅黑" w:eastAsia="微软雅黑"/>
                <w:color w:val="243041"/>
                <w:sz w:val="18"/>
              </w:rPr>
              <w:t>工人状态转为 REST，结束后恢复可用</w:t>
            </w:r>
          </w:p>
        </w:tc>
      </w:tr>
      <w:tr w14:paraId="194D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Mar>
              <w:top w:w="90" w:type="dxa"/>
              <w:left w:w="90" w:type="dxa"/>
              <w:bottom w:w="90" w:type="dxa"/>
              <w:right w:w="90" w:type="dxa"/>
            </w:tcMar>
            <w:vAlign w:val="center"/>
          </w:tcPr>
          <w:p w14:paraId="4E3DCB66">
            <w:pPr>
              <w:spacing w:after="0" w:line="276" w:lineRule="auto"/>
            </w:pPr>
            <w:r>
              <w:rPr>
                <w:rFonts w:ascii="微软雅黑" w:hAnsi="微软雅黑" w:eastAsia="微软雅黑"/>
                <w:color w:val="243041"/>
                <w:sz w:val="18"/>
              </w:rPr>
              <w:t>REBA 负荷触发阈值</w:t>
            </w:r>
          </w:p>
        </w:tc>
        <w:tc>
          <w:tcPr>
            <w:tcW w:w="3500" w:type="dxa"/>
            <w:tcMar>
              <w:top w:w="90" w:type="dxa"/>
              <w:left w:w="90" w:type="dxa"/>
              <w:bottom w:w="90" w:type="dxa"/>
              <w:right w:w="90" w:type="dxa"/>
            </w:tcMar>
            <w:vAlign w:val="center"/>
          </w:tcPr>
          <w:p w14:paraId="2174A8D7">
            <w:pPr>
              <w:spacing w:after="0" w:line="276" w:lineRule="auto"/>
            </w:pPr>
            <w:r>
              <w:rPr>
                <w:rFonts w:ascii="微软雅黑" w:hAnsi="微软雅黑" w:eastAsia="微软雅黑"/>
                <w:color w:val="243041"/>
                <w:sz w:val="18"/>
              </w:rPr>
              <w:t>识别高人体工学负荷任务</w:t>
            </w:r>
          </w:p>
        </w:tc>
        <w:tc>
          <w:tcPr>
            <w:tcW w:w="3560" w:type="dxa"/>
            <w:tcMar>
              <w:top w:w="90" w:type="dxa"/>
              <w:left w:w="90" w:type="dxa"/>
              <w:bottom w:w="90" w:type="dxa"/>
              <w:right w:w="90" w:type="dxa"/>
            </w:tcMar>
            <w:vAlign w:val="center"/>
          </w:tcPr>
          <w:p w14:paraId="715E6579">
            <w:pPr>
              <w:spacing w:after="0" w:line="276" w:lineRule="auto"/>
            </w:pPr>
            <w:r>
              <w:rPr>
                <w:rFonts w:ascii="微软雅黑" w:hAnsi="微软雅黑" w:eastAsia="微软雅黑"/>
                <w:color w:val="243041"/>
                <w:sz w:val="18"/>
              </w:rPr>
              <w:t>任务完成后触发微休息并记录高强度暴露</w:t>
            </w:r>
          </w:p>
        </w:tc>
      </w:tr>
      <w:tr w14:paraId="28ED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shd w:val="clear" w:color="auto" w:fill="F8FAFC"/>
            <w:tcMar>
              <w:top w:w="90" w:type="dxa"/>
              <w:left w:w="90" w:type="dxa"/>
              <w:bottom w:w="90" w:type="dxa"/>
              <w:right w:w="90" w:type="dxa"/>
            </w:tcMar>
            <w:vAlign w:val="center"/>
          </w:tcPr>
          <w:p w14:paraId="6DB27E34">
            <w:pPr>
              <w:spacing w:after="0" w:line="276" w:lineRule="auto"/>
            </w:pPr>
            <w:r>
              <w:rPr>
                <w:rFonts w:ascii="微软雅黑" w:hAnsi="微软雅黑" w:eastAsia="微软雅黑"/>
                <w:color w:val="243041"/>
                <w:sz w:val="18"/>
              </w:rPr>
              <w:t>负荷触发休息时长</w:t>
            </w:r>
          </w:p>
        </w:tc>
        <w:tc>
          <w:tcPr>
            <w:tcW w:w="3500" w:type="dxa"/>
            <w:shd w:val="clear" w:color="auto" w:fill="F8FAFC"/>
            <w:tcMar>
              <w:top w:w="90" w:type="dxa"/>
              <w:left w:w="90" w:type="dxa"/>
              <w:bottom w:w="90" w:type="dxa"/>
              <w:right w:w="90" w:type="dxa"/>
            </w:tcMar>
            <w:vAlign w:val="center"/>
          </w:tcPr>
          <w:p w14:paraId="74841D72">
            <w:pPr>
              <w:spacing w:after="0" w:line="276" w:lineRule="auto"/>
            </w:pPr>
            <w:r>
              <w:rPr>
                <w:rFonts w:ascii="微软雅黑" w:hAnsi="微软雅黑" w:eastAsia="微软雅黑"/>
                <w:color w:val="243041"/>
                <w:sz w:val="18"/>
              </w:rPr>
              <w:t>设定高负荷任务后的恢复时间</w:t>
            </w:r>
          </w:p>
        </w:tc>
        <w:tc>
          <w:tcPr>
            <w:tcW w:w="3560" w:type="dxa"/>
            <w:shd w:val="clear" w:color="auto" w:fill="F8FAFC"/>
            <w:tcMar>
              <w:top w:w="90" w:type="dxa"/>
              <w:left w:w="90" w:type="dxa"/>
              <w:bottom w:w="90" w:type="dxa"/>
              <w:right w:w="90" w:type="dxa"/>
            </w:tcMar>
            <w:vAlign w:val="center"/>
          </w:tcPr>
          <w:p w14:paraId="2CD72EA1">
            <w:pPr>
              <w:spacing w:after="0" w:line="276" w:lineRule="auto"/>
            </w:pPr>
            <w:r>
              <w:rPr>
                <w:rFonts w:ascii="微软雅黑" w:hAnsi="微软雅黑" w:eastAsia="微软雅黑"/>
                <w:color w:val="243041"/>
                <w:sz w:val="18"/>
              </w:rPr>
              <w:t>降低疲劳值并延后后续可用时间</w:t>
            </w:r>
          </w:p>
        </w:tc>
      </w:tr>
    </w:tbl>
    <w:p w14:paraId="0D70B614">
      <w:pPr>
        <w:spacing w:after="0"/>
      </w:pPr>
    </w:p>
    <w:p w14:paraId="027D679B">
      <w:pPr>
        <w:spacing w:before="40" w:after="40"/>
        <w:jc w:val="center"/>
      </w:pPr>
      <w:r>
        <w:drawing>
          <wp:inline distT="0" distB="0" distL="114300" distR="114300">
            <wp:extent cx="5897880" cy="3396615"/>
            <wp:effectExtent l="0" t="0" r="7620" b="6985"/>
            <wp:docPr id="3" name="Picture 3" descr="图 5-1  全局参数配置页：排班、设备、流水线/工位模式和疲劳休息规则" title="图 5-1  全局参数配置页：排班、设备、流水线/工位模式和疲劳休息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5-1  全局参数配置页：排班、设备、流水线/工位模式和疲劳休息规则" title="图 5-1  全局参数配置页：排班、设备、流水线/工位模式和疲劳休息规则"/>
                    <pic:cNvPicPr>
                      <a:picLocks noChangeAspect="1"/>
                    </pic:cNvPicPr>
                  </pic:nvPicPr>
                  <pic:blipFill>
                    <a:blip r:embed="rId12"/>
                    <a:stretch>
                      <a:fillRect/>
                    </a:stretch>
                  </pic:blipFill>
                  <pic:spPr>
                    <a:xfrm>
                      <a:off x="0" y="0"/>
                      <a:ext cx="5897880" cy="3396880"/>
                    </a:xfrm>
                    <a:prstGeom prst="rect">
                      <a:avLst/>
                    </a:prstGeom>
                  </pic:spPr>
                </pic:pic>
              </a:graphicData>
            </a:graphic>
          </wp:inline>
        </w:drawing>
      </w:r>
    </w:p>
    <w:p w14:paraId="3593F6F0">
      <w:pPr>
        <w:keepLines/>
        <w:spacing w:after="140"/>
        <w:jc w:val="center"/>
      </w:pPr>
      <w:r>
        <w:rPr>
          <w:rFonts w:ascii="微软雅黑" w:hAnsi="微软雅黑" w:eastAsia="微软雅黑"/>
          <w:color w:val="5B6675"/>
          <w:sz w:val="18"/>
        </w:rPr>
        <w:t>图 5-1  全局参数配置页：排班、设备、流水线/工位模式和疲劳休息规则</w:t>
      </w:r>
    </w:p>
    <w:tbl>
      <w:tblPr>
        <w:tblStyle w:val="34"/>
        <w:tblW w:w="0" w:type="auto"/>
        <w:jc w:val="center"/>
        <w:tblLayout w:type="fixed"/>
        <w:tblCellMar>
          <w:top w:w="0" w:type="dxa"/>
          <w:left w:w="108" w:type="dxa"/>
          <w:bottom w:w="0" w:type="dxa"/>
          <w:right w:w="108" w:type="dxa"/>
        </w:tblCellMar>
      </w:tblPr>
      <w:tblGrid>
        <w:gridCol w:w="4681"/>
        <w:gridCol w:w="4681"/>
      </w:tblGrid>
      <w:tr w14:paraId="4C39D93E">
        <w:tblPrEx>
          <w:tblCellMar>
            <w:top w:w="0" w:type="dxa"/>
            <w:left w:w="108" w:type="dxa"/>
            <w:bottom w:w="0" w:type="dxa"/>
            <w:right w:w="108" w:type="dxa"/>
          </w:tblCellMar>
        </w:tblPrEx>
        <w:trPr>
          <w:jc w:val="center"/>
        </w:trPr>
        <w:tc>
          <w:tcPr>
            <w:tcW w:w="130" w:type="dxa"/>
            <w:shd w:val="clear" w:color="auto" w:fill="16A3B6"/>
            <w:tcMar>
              <w:top w:w="0" w:type="dxa"/>
              <w:left w:w="0" w:type="dxa"/>
              <w:bottom w:w="0" w:type="dxa"/>
              <w:right w:w="0" w:type="dxa"/>
            </w:tcMar>
          </w:tcPr>
          <w:p w14:paraId="7832E5D2"/>
        </w:tc>
        <w:tc>
          <w:tcPr>
            <w:tcW w:w="9230" w:type="dxa"/>
            <w:shd w:val="clear" w:color="auto" w:fill="EAF4FA"/>
            <w:tcMar>
              <w:top w:w="120" w:type="dxa"/>
              <w:left w:w="180" w:type="dxa"/>
              <w:bottom w:w="120" w:type="dxa"/>
              <w:right w:w="180" w:type="dxa"/>
            </w:tcMar>
          </w:tcPr>
          <w:p w14:paraId="3636E123">
            <w:pPr>
              <w:spacing w:after="0"/>
            </w:pPr>
            <w:r>
              <w:rPr>
                <w:rFonts w:ascii="微软雅黑" w:hAnsi="微软雅黑" w:eastAsia="微软雅黑"/>
                <w:b/>
                <w:color w:val="17324D"/>
                <w:sz w:val="21"/>
              </w:rPr>
              <w:t xml:space="preserve">本次实例配置  </w:t>
            </w:r>
            <w:r>
              <w:rPr>
                <w:rFonts w:ascii="微软雅黑" w:hAnsi="微软雅黑" w:eastAsia="微软雅黑"/>
                <w:color w:val="243041"/>
                <w:sz w:val="21"/>
              </w:rPr>
              <w:t>每日8小时、每月22天、15名工人、目标月产量10台、试车台1台；启用流水线，连续工作40分钟休息10分钟，REBA阈值5，负荷触发微休息10分钟。</w:t>
            </w:r>
          </w:p>
        </w:tc>
      </w:tr>
    </w:tbl>
    <w:p w14:paraId="77352166">
      <w:pPr>
        <w:pStyle w:val="3"/>
        <w:keepNext/>
        <w:keepLines/>
      </w:pPr>
      <w:bookmarkStart w:id="25" w:name="_Toc20356"/>
      <w:r>
        <w:t>6 离散事件仿真与调度引擎</w:t>
      </w:r>
      <w:bookmarkEnd w:id="25"/>
    </w:p>
    <w:p w14:paraId="0D278699">
      <w:pPr>
        <w:pStyle w:val="4"/>
        <w:keepNext/>
        <w:keepLines/>
      </w:pPr>
      <w:bookmarkStart w:id="26" w:name="_Toc27141"/>
      <w:r>
        <w:t>6.1 仿真输入构造</w:t>
      </w:r>
      <w:bookmarkEnd w:id="26"/>
    </w:p>
    <w:p w14:paraId="1348D1DF">
      <w:pPr>
        <w:spacing w:after="80" w:line="324" w:lineRule="auto"/>
        <w:ind w:firstLine="420"/>
      </w:pPr>
      <w:r>
        <w:rPr>
          <w:rFonts w:ascii="微软雅黑" w:hAnsi="微软雅黑" w:eastAsia="微软雅黑"/>
          <w:sz w:val="22"/>
        </w:rPr>
        <w:t>运行仿真时，前端读取当前画布节点、依赖边和参数配置，构造包含 config 与 process 两部分的 SimulationRequest。请求通过 POST /api/simulation/run 异步发送到 FastAPI 后端。后端首先执行 Pydantic 数据模型校验，再创建仿真环境、调度器、工人池、设备管理器和事件收集器。</w:t>
      </w:r>
    </w:p>
    <w:p w14:paraId="5DE770CB">
      <w:pPr>
        <w:pStyle w:val="4"/>
        <w:keepNext/>
        <w:keepLines/>
      </w:pPr>
      <w:bookmarkStart w:id="27" w:name="_Toc7194"/>
      <w:r>
        <w:t>6.2 DAG 拓扑调度与动态就绪检测</w:t>
      </w:r>
      <w:bookmarkEnd w:id="27"/>
    </w:p>
    <w:p w14:paraId="47D9ED0D">
      <w:pPr>
        <w:spacing w:after="80" w:line="324" w:lineRule="auto"/>
        <w:ind w:firstLine="420"/>
      </w:pPr>
      <w:r>
        <w:rPr>
          <w:rFonts w:ascii="微软雅黑" w:hAnsi="微软雅黑" w:eastAsia="微软雅黑"/>
          <w:sz w:val="22"/>
        </w:rPr>
        <w:t>系统将工序映射为有向图节点，将前置关系映射为有向边。仿真开始前检查图中是否存在环，并计算拓扑序。运行期间不简单按固定清单顺序执行，而是在每个任务完成事件后动态检查后继节点：只有其全部前置节点均为 Completed 状态时，节点才进入 Ready 集合并尝试申请资源。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1C55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17324D"/>
            <w:tcMar>
              <w:top w:w="90" w:type="dxa"/>
              <w:left w:w="90" w:type="dxa"/>
              <w:bottom w:w="90" w:type="dxa"/>
              <w:right w:w="90" w:type="dxa"/>
            </w:tcMar>
            <w:vAlign w:val="center"/>
          </w:tcPr>
          <w:p w14:paraId="507814C3">
            <w:pPr>
              <w:spacing w:after="0"/>
              <w:jc w:val="center"/>
            </w:pPr>
            <w:r>
              <w:rPr>
                <w:rFonts w:ascii="微软雅黑" w:hAnsi="微软雅黑" w:eastAsia="微软雅黑"/>
                <w:b/>
                <w:color w:val="FFFFFF"/>
                <w:sz w:val="18"/>
              </w:rPr>
              <w:t>状态</w:t>
            </w:r>
          </w:p>
        </w:tc>
        <w:tc>
          <w:tcPr>
            <w:tcW w:w="3600" w:type="dxa"/>
            <w:shd w:val="clear" w:color="auto" w:fill="17324D"/>
            <w:tcMar>
              <w:top w:w="90" w:type="dxa"/>
              <w:left w:w="90" w:type="dxa"/>
              <w:bottom w:w="90" w:type="dxa"/>
              <w:right w:w="90" w:type="dxa"/>
            </w:tcMar>
            <w:vAlign w:val="center"/>
          </w:tcPr>
          <w:p w14:paraId="11BC77CC">
            <w:pPr>
              <w:spacing w:after="0"/>
              <w:jc w:val="center"/>
            </w:pPr>
            <w:r>
              <w:rPr>
                <w:rFonts w:ascii="微软雅黑" w:hAnsi="微软雅黑" w:eastAsia="微软雅黑"/>
                <w:b/>
                <w:color w:val="FFFFFF"/>
                <w:sz w:val="18"/>
              </w:rPr>
              <w:t>含义</w:t>
            </w:r>
          </w:p>
        </w:tc>
        <w:tc>
          <w:tcPr>
            <w:tcW w:w="4260" w:type="dxa"/>
            <w:shd w:val="clear" w:color="auto" w:fill="17324D"/>
            <w:tcMar>
              <w:top w:w="90" w:type="dxa"/>
              <w:left w:w="90" w:type="dxa"/>
              <w:bottom w:w="90" w:type="dxa"/>
              <w:right w:w="90" w:type="dxa"/>
            </w:tcMar>
            <w:vAlign w:val="center"/>
          </w:tcPr>
          <w:p w14:paraId="6C6AEF30">
            <w:pPr>
              <w:spacing w:after="0"/>
              <w:jc w:val="center"/>
            </w:pPr>
            <w:r>
              <w:rPr>
                <w:rFonts w:ascii="微软雅黑" w:hAnsi="微软雅黑" w:eastAsia="微软雅黑"/>
                <w:b/>
                <w:color w:val="FFFFFF"/>
                <w:sz w:val="18"/>
              </w:rPr>
              <w:t>转移条件</w:t>
            </w:r>
          </w:p>
        </w:tc>
      </w:tr>
      <w:tr w14:paraId="2AD1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457BC345">
            <w:pPr>
              <w:spacing w:after="0" w:line="276" w:lineRule="auto"/>
            </w:pPr>
            <w:r>
              <w:rPr>
                <w:rFonts w:ascii="微软雅黑" w:hAnsi="微软雅黑" w:eastAsia="微软雅黑"/>
                <w:color w:val="243041"/>
                <w:sz w:val="18"/>
              </w:rPr>
              <w:t>CREATED</w:t>
            </w:r>
          </w:p>
        </w:tc>
        <w:tc>
          <w:tcPr>
            <w:tcW w:w="3600" w:type="dxa"/>
            <w:tcMar>
              <w:top w:w="90" w:type="dxa"/>
              <w:left w:w="90" w:type="dxa"/>
              <w:bottom w:w="90" w:type="dxa"/>
              <w:right w:w="90" w:type="dxa"/>
            </w:tcMar>
            <w:vAlign w:val="center"/>
          </w:tcPr>
          <w:p w14:paraId="369D3F0E">
            <w:pPr>
              <w:spacing w:after="0" w:line="276" w:lineRule="auto"/>
            </w:pPr>
            <w:r>
              <w:rPr>
                <w:rFonts w:ascii="微软雅黑" w:hAnsi="微软雅黑" w:eastAsia="微软雅黑"/>
                <w:color w:val="243041"/>
                <w:sz w:val="18"/>
              </w:rPr>
              <w:t>任务对象已创建</w:t>
            </w:r>
          </w:p>
        </w:tc>
        <w:tc>
          <w:tcPr>
            <w:tcW w:w="4260" w:type="dxa"/>
            <w:tcMar>
              <w:top w:w="90" w:type="dxa"/>
              <w:left w:w="90" w:type="dxa"/>
              <w:bottom w:w="90" w:type="dxa"/>
              <w:right w:w="90" w:type="dxa"/>
            </w:tcMar>
            <w:vAlign w:val="center"/>
          </w:tcPr>
          <w:p w14:paraId="55B2B31E">
            <w:pPr>
              <w:spacing w:after="0" w:line="276" w:lineRule="auto"/>
            </w:pPr>
            <w:r>
              <w:rPr>
                <w:rFonts w:ascii="微软雅黑" w:hAnsi="微软雅黑" w:eastAsia="微软雅黑"/>
                <w:color w:val="243041"/>
                <w:sz w:val="18"/>
              </w:rPr>
              <w:t>完成流程和字段校验</w:t>
            </w:r>
          </w:p>
        </w:tc>
      </w:tr>
      <w:tr w14:paraId="6B84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shd w:val="clear" w:color="auto" w:fill="F8FAFC"/>
            <w:tcMar>
              <w:top w:w="90" w:type="dxa"/>
              <w:left w:w="90" w:type="dxa"/>
              <w:bottom w:w="90" w:type="dxa"/>
              <w:right w:w="90" w:type="dxa"/>
            </w:tcMar>
            <w:vAlign w:val="center"/>
          </w:tcPr>
          <w:p w14:paraId="11C04307">
            <w:pPr>
              <w:spacing w:after="0" w:line="276" w:lineRule="auto"/>
            </w:pPr>
            <w:r>
              <w:rPr>
                <w:rFonts w:ascii="微软雅黑" w:hAnsi="微软雅黑" w:eastAsia="微软雅黑"/>
                <w:color w:val="243041"/>
                <w:sz w:val="18"/>
              </w:rPr>
              <w:t>READY</w:t>
            </w:r>
          </w:p>
        </w:tc>
        <w:tc>
          <w:tcPr>
            <w:tcW w:w="3600" w:type="dxa"/>
            <w:shd w:val="clear" w:color="auto" w:fill="F8FAFC"/>
            <w:tcMar>
              <w:top w:w="90" w:type="dxa"/>
              <w:left w:w="90" w:type="dxa"/>
              <w:bottom w:w="90" w:type="dxa"/>
              <w:right w:w="90" w:type="dxa"/>
            </w:tcMar>
            <w:vAlign w:val="center"/>
          </w:tcPr>
          <w:p w14:paraId="09D8AFD1">
            <w:pPr>
              <w:spacing w:after="0" w:line="276" w:lineRule="auto"/>
            </w:pPr>
            <w:r>
              <w:rPr>
                <w:rFonts w:ascii="微软雅黑" w:hAnsi="微软雅黑" w:eastAsia="微软雅黑"/>
                <w:color w:val="243041"/>
                <w:sz w:val="18"/>
              </w:rPr>
              <w:t>全部前置任务已完成</w:t>
            </w:r>
          </w:p>
        </w:tc>
        <w:tc>
          <w:tcPr>
            <w:tcW w:w="4260" w:type="dxa"/>
            <w:shd w:val="clear" w:color="auto" w:fill="F8FAFC"/>
            <w:tcMar>
              <w:top w:w="90" w:type="dxa"/>
              <w:left w:w="90" w:type="dxa"/>
              <w:bottom w:w="90" w:type="dxa"/>
              <w:right w:w="90" w:type="dxa"/>
            </w:tcMar>
            <w:vAlign w:val="center"/>
          </w:tcPr>
          <w:p w14:paraId="5201C098">
            <w:pPr>
              <w:spacing w:after="0" w:line="276" w:lineRule="auto"/>
            </w:pPr>
            <w:r>
              <w:rPr>
                <w:rFonts w:ascii="微软雅黑" w:hAnsi="微软雅黑" w:eastAsia="微软雅黑"/>
                <w:color w:val="243041"/>
                <w:sz w:val="18"/>
              </w:rPr>
              <w:t>DAG 动态就绪检测通过</w:t>
            </w:r>
          </w:p>
        </w:tc>
      </w:tr>
      <w:tr w14:paraId="410A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469D7402">
            <w:pPr>
              <w:spacing w:after="0" w:line="276" w:lineRule="auto"/>
            </w:pPr>
            <w:r>
              <w:rPr>
                <w:rFonts w:ascii="微软雅黑" w:hAnsi="微软雅黑" w:eastAsia="微软雅黑"/>
                <w:color w:val="243041"/>
                <w:sz w:val="18"/>
              </w:rPr>
              <w:t>WAITING</w:t>
            </w:r>
          </w:p>
        </w:tc>
        <w:tc>
          <w:tcPr>
            <w:tcW w:w="3600" w:type="dxa"/>
            <w:tcMar>
              <w:top w:w="90" w:type="dxa"/>
              <w:left w:w="90" w:type="dxa"/>
              <w:bottom w:w="90" w:type="dxa"/>
              <w:right w:w="90" w:type="dxa"/>
            </w:tcMar>
            <w:vAlign w:val="center"/>
          </w:tcPr>
          <w:p w14:paraId="381A65A9">
            <w:pPr>
              <w:spacing w:after="0" w:line="276" w:lineRule="auto"/>
            </w:pPr>
            <w:r>
              <w:rPr>
                <w:rFonts w:ascii="微软雅黑" w:hAnsi="微软雅黑" w:eastAsia="微软雅黑"/>
                <w:color w:val="243041"/>
                <w:sz w:val="18"/>
              </w:rPr>
              <w:t>正在等待工人、设备或工位</w:t>
            </w:r>
          </w:p>
        </w:tc>
        <w:tc>
          <w:tcPr>
            <w:tcW w:w="4260" w:type="dxa"/>
            <w:tcMar>
              <w:top w:w="90" w:type="dxa"/>
              <w:left w:w="90" w:type="dxa"/>
              <w:bottom w:w="90" w:type="dxa"/>
              <w:right w:w="90" w:type="dxa"/>
            </w:tcMar>
            <w:vAlign w:val="center"/>
          </w:tcPr>
          <w:p w14:paraId="34A58CDA">
            <w:pPr>
              <w:spacing w:after="0" w:line="276" w:lineRule="auto"/>
            </w:pPr>
            <w:r>
              <w:rPr>
                <w:rFonts w:ascii="微软雅黑" w:hAnsi="微软雅黑" w:eastAsia="微软雅黑"/>
                <w:color w:val="243041"/>
                <w:sz w:val="18"/>
              </w:rPr>
              <w:t>资源不足或优先级排队</w:t>
            </w:r>
          </w:p>
        </w:tc>
      </w:tr>
      <w:tr w14:paraId="18D3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shd w:val="clear" w:color="auto" w:fill="F8FAFC"/>
            <w:tcMar>
              <w:top w:w="90" w:type="dxa"/>
              <w:left w:w="90" w:type="dxa"/>
              <w:bottom w:w="90" w:type="dxa"/>
              <w:right w:w="90" w:type="dxa"/>
            </w:tcMar>
            <w:vAlign w:val="center"/>
          </w:tcPr>
          <w:p w14:paraId="75829452">
            <w:pPr>
              <w:spacing w:after="0" w:line="276" w:lineRule="auto"/>
            </w:pPr>
            <w:r>
              <w:rPr>
                <w:rFonts w:ascii="微软雅黑" w:hAnsi="微软雅黑" w:eastAsia="微软雅黑"/>
                <w:color w:val="243041"/>
                <w:sz w:val="18"/>
              </w:rPr>
              <w:t>RUNNING</w:t>
            </w:r>
          </w:p>
        </w:tc>
        <w:tc>
          <w:tcPr>
            <w:tcW w:w="3600" w:type="dxa"/>
            <w:shd w:val="clear" w:color="auto" w:fill="F8FAFC"/>
            <w:tcMar>
              <w:top w:w="90" w:type="dxa"/>
              <w:left w:w="90" w:type="dxa"/>
              <w:bottom w:w="90" w:type="dxa"/>
              <w:right w:w="90" w:type="dxa"/>
            </w:tcMar>
            <w:vAlign w:val="center"/>
          </w:tcPr>
          <w:p w14:paraId="4748D30E">
            <w:pPr>
              <w:spacing w:after="0" w:line="276" w:lineRule="auto"/>
            </w:pPr>
            <w:r>
              <w:rPr>
                <w:rFonts w:ascii="微软雅黑" w:hAnsi="微软雅黑" w:eastAsia="微软雅黑"/>
                <w:color w:val="243041"/>
                <w:sz w:val="18"/>
              </w:rPr>
              <w:t>已取得全部资源并执行</w:t>
            </w:r>
          </w:p>
        </w:tc>
        <w:tc>
          <w:tcPr>
            <w:tcW w:w="4260" w:type="dxa"/>
            <w:shd w:val="clear" w:color="auto" w:fill="F8FAFC"/>
            <w:tcMar>
              <w:top w:w="90" w:type="dxa"/>
              <w:left w:w="90" w:type="dxa"/>
              <w:bottom w:w="90" w:type="dxa"/>
              <w:right w:w="90" w:type="dxa"/>
            </w:tcMar>
            <w:vAlign w:val="center"/>
          </w:tcPr>
          <w:p w14:paraId="73EF4A57">
            <w:pPr>
              <w:spacing w:after="0" w:line="276" w:lineRule="auto"/>
            </w:pPr>
            <w:r>
              <w:rPr>
                <w:rFonts w:ascii="微软雅黑" w:hAnsi="微软雅黑" w:eastAsia="微软雅黑"/>
                <w:color w:val="243041"/>
                <w:sz w:val="18"/>
              </w:rPr>
              <w:t>SimPy 超时事件推进实际工时</w:t>
            </w:r>
          </w:p>
        </w:tc>
      </w:tr>
      <w:tr w14:paraId="2098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0E232C57">
            <w:pPr>
              <w:spacing w:after="0" w:line="276" w:lineRule="auto"/>
            </w:pPr>
            <w:r>
              <w:rPr>
                <w:rFonts w:ascii="微软雅黑" w:hAnsi="微软雅黑" w:eastAsia="微软雅黑"/>
                <w:color w:val="243041"/>
                <w:sz w:val="18"/>
              </w:rPr>
              <w:t>REST</w:t>
            </w:r>
          </w:p>
        </w:tc>
        <w:tc>
          <w:tcPr>
            <w:tcW w:w="3600" w:type="dxa"/>
            <w:tcMar>
              <w:top w:w="90" w:type="dxa"/>
              <w:left w:w="90" w:type="dxa"/>
              <w:bottom w:w="90" w:type="dxa"/>
              <w:right w:w="90" w:type="dxa"/>
            </w:tcMar>
            <w:vAlign w:val="center"/>
          </w:tcPr>
          <w:p w14:paraId="7B15DA77">
            <w:pPr>
              <w:spacing w:after="0" w:line="276" w:lineRule="auto"/>
            </w:pPr>
            <w:r>
              <w:rPr>
                <w:rFonts w:ascii="微软雅黑" w:hAnsi="微软雅黑" w:eastAsia="微软雅黑"/>
                <w:color w:val="243041"/>
                <w:sz w:val="18"/>
              </w:rPr>
              <w:t>任务相关工人处于休息</w:t>
            </w:r>
          </w:p>
        </w:tc>
        <w:tc>
          <w:tcPr>
            <w:tcW w:w="4260" w:type="dxa"/>
            <w:tcMar>
              <w:top w:w="90" w:type="dxa"/>
              <w:left w:w="90" w:type="dxa"/>
              <w:bottom w:w="90" w:type="dxa"/>
              <w:right w:w="90" w:type="dxa"/>
            </w:tcMar>
            <w:vAlign w:val="center"/>
          </w:tcPr>
          <w:p w14:paraId="7F9F0C5E">
            <w:pPr>
              <w:spacing w:after="0" w:line="276" w:lineRule="auto"/>
            </w:pPr>
            <w:r>
              <w:rPr>
                <w:rFonts w:ascii="微软雅黑" w:hAnsi="微软雅黑" w:eastAsia="微软雅黑"/>
                <w:color w:val="243041"/>
                <w:sz w:val="18"/>
              </w:rPr>
              <w:t>时间阈值或 REBA 负荷阈值触发</w:t>
            </w:r>
          </w:p>
        </w:tc>
      </w:tr>
      <w:tr w14:paraId="7C6B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shd w:val="clear" w:color="auto" w:fill="F8FAFC"/>
            <w:tcMar>
              <w:top w:w="90" w:type="dxa"/>
              <w:left w:w="90" w:type="dxa"/>
              <w:bottom w:w="90" w:type="dxa"/>
              <w:right w:w="90" w:type="dxa"/>
            </w:tcMar>
            <w:vAlign w:val="center"/>
          </w:tcPr>
          <w:p w14:paraId="55494165">
            <w:pPr>
              <w:spacing w:after="0" w:line="276" w:lineRule="auto"/>
            </w:pPr>
            <w:r>
              <w:rPr>
                <w:rFonts w:ascii="微软雅黑" w:hAnsi="微软雅黑" w:eastAsia="微软雅黑"/>
                <w:color w:val="243041"/>
                <w:sz w:val="18"/>
              </w:rPr>
              <w:t>REWORK</w:t>
            </w:r>
          </w:p>
        </w:tc>
        <w:tc>
          <w:tcPr>
            <w:tcW w:w="3600" w:type="dxa"/>
            <w:shd w:val="clear" w:color="auto" w:fill="F8FAFC"/>
            <w:tcMar>
              <w:top w:w="90" w:type="dxa"/>
              <w:left w:w="90" w:type="dxa"/>
              <w:bottom w:w="90" w:type="dxa"/>
              <w:right w:w="90" w:type="dxa"/>
            </w:tcMar>
            <w:vAlign w:val="center"/>
          </w:tcPr>
          <w:p w14:paraId="2A15FFB0">
            <w:pPr>
              <w:spacing w:after="0" w:line="276" w:lineRule="auto"/>
            </w:pPr>
            <w:r>
              <w:rPr>
                <w:rFonts w:ascii="微软雅黑" w:hAnsi="微软雅黑" w:eastAsia="微软雅黑"/>
                <w:color w:val="243041"/>
                <w:sz w:val="18"/>
              </w:rPr>
              <w:t>质量判定失败，需要返工</w:t>
            </w:r>
          </w:p>
        </w:tc>
        <w:tc>
          <w:tcPr>
            <w:tcW w:w="4260" w:type="dxa"/>
            <w:shd w:val="clear" w:color="auto" w:fill="F8FAFC"/>
            <w:tcMar>
              <w:top w:w="90" w:type="dxa"/>
              <w:left w:w="90" w:type="dxa"/>
              <w:bottom w:w="90" w:type="dxa"/>
              <w:right w:w="90" w:type="dxa"/>
            </w:tcMar>
            <w:vAlign w:val="center"/>
          </w:tcPr>
          <w:p w14:paraId="70499B92">
            <w:pPr>
              <w:spacing w:after="0" w:line="276" w:lineRule="auto"/>
            </w:pPr>
            <w:r>
              <w:rPr>
                <w:rFonts w:ascii="微软雅黑" w:hAnsi="微软雅黑" w:eastAsia="微软雅黑"/>
                <w:color w:val="243041"/>
                <w:sz w:val="18"/>
              </w:rPr>
              <w:t>测量/检验任务按概率触发</w:t>
            </w:r>
          </w:p>
        </w:tc>
      </w:tr>
      <w:tr w14:paraId="0D67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10F8C1B6">
            <w:pPr>
              <w:spacing w:after="0" w:line="276" w:lineRule="auto"/>
            </w:pPr>
            <w:r>
              <w:rPr>
                <w:rFonts w:ascii="微软雅黑" w:hAnsi="微软雅黑" w:eastAsia="微软雅黑"/>
                <w:color w:val="243041"/>
                <w:sz w:val="18"/>
              </w:rPr>
              <w:t>COMPLETED</w:t>
            </w:r>
          </w:p>
        </w:tc>
        <w:tc>
          <w:tcPr>
            <w:tcW w:w="3600" w:type="dxa"/>
            <w:tcMar>
              <w:top w:w="90" w:type="dxa"/>
              <w:left w:w="90" w:type="dxa"/>
              <w:bottom w:w="90" w:type="dxa"/>
              <w:right w:w="90" w:type="dxa"/>
            </w:tcMar>
            <w:vAlign w:val="center"/>
          </w:tcPr>
          <w:p w14:paraId="68A23E1A">
            <w:pPr>
              <w:spacing w:after="0" w:line="276" w:lineRule="auto"/>
            </w:pPr>
            <w:r>
              <w:rPr>
                <w:rFonts w:ascii="微软雅黑" w:hAnsi="微软雅黑" w:eastAsia="微软雅黑"/>
                <w:color w:val="243041"/>
                <w:sz w:val="18"/>
              </w:rPr>
              <w:t>任务完成并释放资源</w:t>
            </w:r>
          </w:p>
        </w:tc>
        <w:tc>
          <w:tcPr>
            <w:tcW w:w="4260" w:type="dxa"/>
            <w:tcMar>
              <w:top w:w="90" w:type="dxa"/>
              <w:left w:w="90" w:type="dxa"/>
              <w:bottom w:w="90" w:type="dxa"/>
              <w:right w:w="90" w:type="dxa"/>
            </w:tcMar>
            <w:vAlign w:val="center"/>
          </w:tcPr>
          <w:p w14:paraId="225434B9">
            <w:pPr>
              <w:spacing w:after="0" w:line="276" w:lineRule="auto"/>
            </w:pPr>
            <w:r>
              <w:rPr>
                <w:rFonts w:ascii="微软雅黑" w:hAnsi="微软雅黑" w:eastAsia="微软雅黑"/>
                <w:color w:val="243041"/>
                <w:sz w:val="18"/>
              </w:rPr>
              <w:t>触发后继任务重新检测</w:t>
            </w:r>
          </w:p>
        </w:tc>
      </w:tr>
    </w:tbl>
    <w:p w14:paraId="62087B42">
      <w:pPr>
        <w:spacing w:after="0"/>
      </w:pPr>
    </w:p>
    <w:p w14:paraId="70A25064">
      <w:pPr>
        <w:pStyle w:val="4"/>
        <w:keepNext/>
        <w:keepLines/>
      </w:pPr>
      <w:bookmarkStart w:id="28" w:name="_Toc6143"/>
      <w:r>
        <w:t>6.3 资源受限调度</w:t>
      </w:r>
      <w:bookmarkEnd w:id="28"/>
    </w:p>
    <w:p w14:paraId="484CF9AB">
      <w:pPr>
        <w:spacing w:after="80" w:line="324" w:lineRule="auto"/>
        <w:ind w:firstLine="420"/>
      </w:pPr>
      <w:r>
        <w:rPr>
          <w:rFonts w:ascii="微软雅黑" w:hAnsi="微软雅黑" w:eastAsia="微软雅黑"/>
          <w:sz w:val="22"/>
        </w:rPr>
        <w:t>每个就绪任务依次申请所需工人、关键设备和可选工位资源。工人池维护工人的空闲、工作和休息状态；关键设备由容量资源控制并发；启用工位限制后还需取得工位资源。资源争用采用先到先服务为基础，并可由优先级资源对关键任务进行排序。任一资源不可用时，任务记录等待事件和等待时长。</w:t>
      </w:r>
    </w:p>
    <w:p w14:paraId="73558CB2">
      <w:pPr>
        <w:pStyle w:val="4"/>
        <w:keepNext/>
        <w:keepLines/>
      </w:pPr>
      <w:bookmarkStart w:id="29" w:name="_Toc26897"/>
      <w:r>
        <w:t>6.4 多发动机并行与平滑投放</w:t>
      </w:r>
      <w:bookmarkEnd w:id="29"/>
    </w:p>
    <w:p w14:paraId="6A977E7E">
      <w:pPr>
        <w:spacing w:after="80" w:line="324" w:lineRule="auto"/>
        <w:ind w:firstLine="420"/>
      </w:pPr>
      <w:r>
        <w:rPr>
          <w:rFonts w:ascii="微软雅黑" w:hAnsi="微软雅黑" w:eastAsia="微软雅黑"/>
          <w:sz w:val="22"/>
        </w:rPr>
        <w:t>流水线模式下，系统为多台发动机分别创建装配进程，共享工人、设备和工位资源。平滑启动策略为各发动机设置错峰投放时间，使发动机在时间轴上分批进入生产，降低起始时刻的瞬时资源拥塞。关闭流水线后，可按单台或严格串行方式进行基准对比。</w:t>
      </w:r>
    </w:p>
    <w:p w14:paraId="79324518">
      <w:pPr>
        <w:pStyle w:val="4"/>
        <w:keepNext/>
        <w:keepLines/>
      </w:pPr>
      <w:bookmarkStart w:id="30" w:name="_Toc30218"/>
      <w:r>
        <w:t>6.5 工时随机性、质量返工与工位串行</w:t>
      </w:r>
      <w:bookmarkEnd w:id="30"/>
    </w:p>
    <w:p w14:paraId="62AA5409">
      <w:pPr>
        <w:spacing w:after="80" w:line="324" w:lineRule="auto"/>
        <w:ind w:firstLine="420"/>
      </w:pPr>
      <w:r>
        <w:rPr>
          <w:rFonts w:ascii="微软雅黑" w:hAnsi="微软雅黑" w:eastAsia="微软雅黑"/>
          <w:sz w:val="22"/>
        </w:rPr>
        <w:t>实际任务时长由标准工时和时间方差共同确定，以反映人工操作和工艺波动。对于设置返工概率的测量/检验任务，完成后进行随机质量判定；失败时记录 REWORK 事件并重新进入执行流程。工位资源限制开启后，同一工位内任务按资源队列串行执行，用于模拟空间、工装或安全隔离造成的并发限制。</w:t>
      </w:r>
    </w:p>
    <w:p w14:paraId="0F5A923B">
      <w:pPr>
        <w:pStyle w:val="4"/>
        <w:keepNext/>
        <w:keepLines/>
      </w:pPr>
      <w:bookmarkStart w:id="31" w:name="_Toc9030"/>
      <w:r>
        <w:t>6.6 仿真事件采集</w:t>
      </w:r>
      <w:bookmarkEnd w:id="31"/>
    </w:p>
    <w:p w14:paraId="14D28E89">
      <w:pPr>
        <w:spacing w:after="80" w:line="324" w:lineRule="auto"/>
        <w:ind w:firstLine="420"/>
      </w:pPr>
      <w:r>
        <w:rPr>
          <w:rFonts w:ascii="微软雅黑" w:hAnsi="微软雅黑" w:eastAsia="微软雅黑"/>
          <w:sz w:val="22"/>
        </w:rPr>
        <w:t>事件收集器持续记录任务开始、等待、执行、休息、返工、完成、资源申请和释放等状态。仿真结束后，统计模块基于事件序列计算每台发动机周期、月产量、计划达成率、一次通过率、工人/设备利用率、疲劳曲线、等待时间、瓶颈和工位流转矩阵。</w:t>
      </w:r>
    </w:p>
    <w:p w14:paraId="401BAC31">
      <w:pPr>
        <w:spacing w:before="40" w:after="40"/>
        <w:jc w:val="center"/>
      </w:pPr>
      <w:r>
        <w:drawing>
          <wp:inline distT="0" distB="0" distL="114300" distR="114300">
            <wp:extent cx="5897880" cy="3319145"/>
            <wp:effectExtent l="0" t="0" r="7620" b="8255"/>
            <wp:docPr id="4" name="Picture 4" descr="图 6-1  仿真控制、状态查询、结果查询和流程导出接口" title="图 6-1  仿真控制、状态查询、结果查询和流程导出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6-1  仿真控制、状态查询、结果查询和流程导出接口" title="图 6-1  仿真控制、状态查询、结果查询和流程导出接口"/>
                    <pic:cNvPicPr>
                      <a:picLocks noChangeAspect="1"/>
                    </pic:cNvPicPr>
                  </pic:nvPicPr>
                  <pic:blipFill>
                    <a:blip r:embed="rId13"/>
                    <a:stretch>
                      <a:fillRect/>
                    </a:stretch>
                  </pic:blipFill>
                  <pic:spPr>
                    <a:xfrm>
                      <a:off x="0" y="0"/>
                      <a:ext cx="5897880" cy="3319597"/>
                    </a:xfrm>
                    <a:prstGeom prst="rect">
                      <a:avLst/>
                    </a:prstGeom>
                  </pic:spPr>
                </pic:pic>
              </a:graphicData>
            </a:graphic>
          </wp:inline>
        </w:drawing>
      </w:r>
    </w:p>
    <w:p w14:paraId="61EDD7CD">
      <w:pPr>
        <w:keepLines/>
        <w:spacing w:after="140"/>
        <w:jc w:val="center"/>
      </w:pPr>
      <w:r>
        <w:rPr>
          <w:rFonts w:ascii="微软雅黑" w:hAnsi="微软雅黑" w:eastAsia="微软雅黑"/>
          <w:color w:val="5B6675"/>
          <w:sz w:val="18"/>
        </w:rPr>
        <w:t>图 6-1  仿真控制、状态查询、结果查询和流程导出接口</w:t>
      </w:r>
    </w:p>
    <w:p w14:paraId="0B80AB9D">
      <w:pPr>
        <w:pStyle w:val="3"/>
        <w:keepNext/>
        <w:keepLines/>
      </w:pPr>
      <w:bookmarkStart w:id="32" w:name="_Toc24841"/>
      <w:r>
        <w:t>7 人因工程疲劳评估</w:t>
      </w:r>
      <w:bookmarkEnd w:id="32"/>
    </w:p>
    <w:p w14:paraId="209B5FC3">
      <w:pPr>
        <w:pStyle w:val="4"/>
        <w:keepNext/>
        <w:keepLines/>
      </w:pPr>
      <w:bookmarkStart w:id="33" w:name="_Toc20870"/>
      <w:r>
        <w:t>7.1 REBA 负荷模型</w:t>
      </w:r>
      <w:bookmarkEnd w:id="33"/>
    </w:p>
    <w:p w14:paraId="38D93BC7">
      <w:pPr>
        <w:spacing w:after="80" w:line="324" w:lineRule="auto"/>
        <w:ind w:firstLine="420"/>
      </w:pPr>
      <w:r>
        <w:rPr>
          <w:rFonts w:ascii="微软雅黑" w:hAnsi="微软雅黑" w:eastAsia="微软雅黑"/>
          <w:sz w:val="22"/>
        </w:rPr>
        <w:t>每个工艺节点可配置1至10的 REBA 负荷评分。该评分作为人体工学负荷输入，参与工人疲劳累积速率和高负荷任务判定。负荷评分达到配置阈值时，系统在任务结束后插入微休息，并记录高强度任务暴露次数。</w:t>
      </w:r>
    </w:p>
    <w:p w14:paraId="3108EFBA">
      <w:pPr>
        <w:pStyle w:val="4"/>
        <w:keepNext/>
        <w:keepLines/>
      </w:pPr>
      <w:bookmarkStart w:id="34" w:name="_Toc21552"/>
      <w:r>
        <w:t>7.2 连续工作与恢复</w:t>
      </w:r>
      <w:bookmarkEnd w:id="34"/>
    </w:p>
    <w:p w14:paraId="14BDD27B">
      <w:pPr>
        <w:spacing w:after="80" w:line="324" w:lineRule="auto"/>
        <w:ind w:firstLine="420"/>
      </w:pPr>
      <w:r>
        <w:rPr>
          <w:rFonts w:ascii="微软雅黑" w:hAnsi="微软雅黑" w:eastAsia="微软雅黑"/>
          <w:sz w:val="22"/>
        </w:rPr>
        <w:t>工人对象维护连续工作时间、累计工作时间、休息次数、休息时长和疲劳值。连续工作达到阈值时，执行任务前或任务间插入时间性休息；空闲和休息期间疲劳值按恢复规则下降。该机制使资源利用率、周期和产量同时反映人体可持续作业约束。</w:t>
      </w:r>
    </w:p>
    <w:p w14:paraId="0A7EA16A">
      <w:pPr>
        <w:pStyle w:val="4"/>
        <w:keepNext/>
        <w:keepLines/>
      </w:pPr>
      <w:bookmarkStart w:id="35" w:name="_Toc7043"/>
      <w:r>
        <w:t>7.3 人因与基准模式对比</w:t>
      </w:r>
      <w:bookmarkEnd w:id="35"/>
    </w:p>
    <w:p w14:paraId="0A50CB08">
      <w:pPr>
        <w:spacing w:after="80" w:line="324" w:lineRule="auto"/>
        <w:ind w:firstLine="420"/>
      </w:pPr>
      <w:r>
        <w:rPr>
          <w:rFonts w:ascii="微软雅黑" w:hAnsi="微软雅黑" w:eastAsia="微软雅黑"/>
          <w:sz w:val="22"/>
        </w:rPr>
        <w:t>结果页提供考虑人因的当前模式与不考虑人因的基准模式对比。比较项包括产量、平均周期、质量和休息相关指标，用于量化休息干预带来的产能变化。对比结果用于支持班次设计和人机工程改善，而不是简单追求最大设备利用率。</w:t>
      </w:r>
    </w:p>
    <w:p w14:paraId="19B3FF5A">
      <w:pPr>
        <w:pStyle w:val="4"/>
        <w:keepNext/>
        <w:keepLines/>
      </w:pPr>
      <w:bookmarkStart w:id="36" w:name="_Toc13442"/>
      <w:r>
        <w:t>7.4 疲劳曲线和暴露指标</w:t>
      </w:r>
      <w:bookmarkEnd w:id="36"/>
    </w:p>
    <w:p w14:paraId="2FBCE789">
      <w:pPr>
        <w:spacing w:after="80" w:line="324" w:lineRule="auto"/>
        <w:ind w:firstLine="420"/>
      </w:pPr>
      <w:r>
        <w:rPr>
          <w:rFonts w:ascii="微软雅黑" w:hAnsi="微软雅黑" w:eastAsia="微软雅黑"/>
          <w:sz w:val="22"/>
        </w:rPr>
        <w:t>疲劳度折线图以仿真时间为横轴、疲劳水平为纵轴，支持查看全部工人或筛选单名工人。曲线上升段对应持续作业和高负荷任务，下降段对应休息或空闲恢复。KPI 同时显示总休息时间和高强度任务暴露次数。</w:t>
      </w:r>
    </w:p>
    <w:p w14:paraId="096F1EF5">
      <w:pPr>
        <w:pStyle w:val="3"/>
        <w:keepNext/>
        <w:keepLines/>
      </w:pPr>
      <w:bookmarkStart w:id="37" w:name="_Toc17869"/>
      <w:r>
        <w:t>8 数据可视化与智能分析报表</w:t>
      </w:r>
      <w:bookmarkEnd w:id="37"/>
    </w:p>
    <w:p w14:paraId="43473148">
      <w:pPr>
        <w:pStyle w:val="4"/>
        <w:keepNext/>
        <w:keepLines/>
      </w:pPr>
      <w:bookmarkStart w:id="38" w:name="_Toc16776"/>
      <w:r>
        <w:t>8.1 KPI 仪表盘</w:t>
      </w:r>
      <w:bookmarkEnd w:id="3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4C44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90" w:type="dxa"/>
              <w:left w:w="90" w:type="dxa"/>
              <w:bottom w:w="90" w:type="dxa"/>
              <w:right w:w="90" w:type="dxa"/>
            </w:tcMar>
            <w:vAlign w:val="center"/>
          </w:tcPr>
          <w:p w14:paraId="18D511BA">
            <w:pPr>
              <w:spacing w:after="0"/>
              <w:jc w:val="center"/>
            </w:pPr>
            <w:r>
              <w:rPr>
                <w:rFonts w:ascii="微软雅黑" w:hAnsi="微软雅黑" w:eastAsia="微软雅黑"/>
                <w:b/>
                <w:color w:val="FFFFFF"/>
                <w:sz w:val="18"/>
              </w:rPr>
              <w:t>指标</w:t>
            </w:r>
          </w:p>
        </w:tc>
        <w:tc>
          <w:tcPr>
            <w:tcW w:w="4300" w:type="dxa"/>
            <w:shd w:val="clear" w:color="auto" w:fill="17324D"/>
            <w:tcMar>
              <w:top w:w="90" w:type="dxa"/>
              <w:left w:w="90" w:type="dxa"/>
              <w:bottom w:w="90" w:type="dxa"/>
              <w:right w:w="90" w:type="dxa"/>
            </w:tcMar>
            <w:vAlign w:val="center"/>
          </w:tcPr>
          <w:p w14:paraId="65197C85">
            <w:pPr>
              <w:spacing w:after="0"/>
              <w:jc w:val="center"/>
            </w:pPr>
            <w:r>
              <w:rPr>
                <w:rFonts w:ascii="微软雅黑" w:hAnsi="微软雅黑" w:eastAsia="微软雅黑"/>
                <w:b/>
                <w:color w:val="FFFFFF"/>
                <w:sz w:val="18"/>
              </w:rPr>
              <w:t>计算含义</w:t>
            </w:r>
          </w:p>
        </w:tc>
        <w:tc>
          <w:tcPr>
            <w:tcW w:w="3260" w:type="dxa"/>
            <w:shd w:val="clear" w:color="auto" w:fill="17324D"/>
            <w:tcMar>
              <w:top w:w="90" w:type="dxa"/>
              <w:left w:w="90" w:type="dxa"/>
              <w:bottom w:w="90" w:type="dxa"/>
              <w:right w:w="90" w:type="dxa"/>
            </w:tcMar>
            <w:vAlign w:val="center"/>
          </w:tcPr>
          <w:p w14:paraId="0F9B3DAC">
            <w:pPr>
              <w:spacing w:after="0"/>
              <w:jc w:val="center"/>
            </w:pPr>
            <w:r>
              <w:rPr>
                <w:rFonts w:ascii="微软雅黑" w:hAnsi="微软雅黑" w:eastAsia="微软雅黑"/>
                <w:b/>
                <w:color w:val="FFFFFF"/>
                <w:sz w:val="18"/>
              </w:rPr>
              <w:t>用途</w:t>
            </w:r>
          </w:p>
        </w:tc>
      </w:tr>
      <w:tr w14:paraId="13468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1E09111A">
            <w:pPr>
              <w:spacing w:after="0" w:line="276" w:lineRule="auto"/>
            </w:pPr>
            <w:r>
              <w:rPr>
                <w:rFonts w:ascii="微软雅黑" w:hAnsi="微软雅黑" w:eastAsia="微软雅黑"/>
                <w:color w:val="243041"/>
                <w:sz w:val="18"/>
              </w:rPr>
              <w:t>月产量</w:t>
            </w:r>
          </w:p>
        </w:tc>
        <w:tc>
          <w:tcPr>
            <w:tcW w:w="4300" w:type="dxa"/>
            <w:tcMar>
              <w:top w:w="90" w:type="dxa"/>
              <w:left w:w="90" w:type="dxa"/>
              <w:bottom w:w="90" w:type="dxa"/>
              <w:right w:w="90" w:type="dxa"/>
            </w:tcMar>
            <w:vAlign w:val="center"/>
          </w:tcPr>
          <w:p w14:paraId="6A9DA231">
            <w:pPr>
              <w:spacing w:after="0" w:line="276" w:lineRule="auto"/>
            </w:pPr>
            <w:r>
              <w:rPr>
                <w:rFonts w:ascii="微软雅黑" w:hAnsi="微软雅黑" w:eastAsia="微软雅黑"/>
                <w:color w:val="243041"/>
                <w:sz w:val="18"/>
              </w:rPr>
              <w:t>月度仿真窗口内完成的发动机数量</w:t>
            </w:r>
          </w:p>
        </w:tc>
        <w:tc>
          <w:tcPr>
            <w:tcW w:w="3260" w:type="dxa"/>
            <w:tcMar>
              <w:top w:w="90" w:type="dxa"/>
              <w:left w:w="90" w:type="dxa"/>
              <w:bottom w:w="90" w:type="dxa"/>
              <w:right w:w="90" w:type="dxa"/>
            </w:tcMar>
            <w:vAlign w:val="center"/>
          </w:tcPr>
          <w:p w14:paraId="498963C1">
            <w:pPr>
              <w:spacing w:after="0" w:line="276" w:lineRule="auto"/>
            </w:pPr>
            <w:r>
              <w:rPr>
                <w:rFonts w:ascii="微软雅黑" w:hAnsi="微软雅黑" w:eastAsia="微软雅黑"/>
                <w:color w:val="243041"/>
                <w:sz w:val="18"/>
              </w:rPr>
              <w:t>判断实际输出能力</w:t>
            </w:r>
          </w:p>
        </w:tc>
      </w:tr>
      <w:tr w14:paraId="7A3B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3CC54FA6">
            <w:pPr>
              <w:spacing w:after="0" w:line="276" w:lineRule="auto"/>
            </w:pPr>
            <w:r>
              <w:rPr>
                <w:rFonts w:ascii="微软雅黑" w:hAnsi="微软雅黑" w:eastAsia="微软雅黑"/>
                <w:color w:val="243041"/>
                <w:sz w:val="18"/>
              </w:rPr>
              <w:t>计划达成率</w:t>
            </w:r>
          </w:p>
        </w:tc>
        <w:tc>
          <w:tcPr>
            <w:tcW w:w="4300" w:type="dxa"/>
            <w:shd w:val="clear" w:color="auto" w:fill="F8FAFC"/>
            <w:tcMar>
              <w:top w:w="90" w:type="dxa"/>
              <w:left w:w="90" w:type="dxa"/>
              <w:bottom w:w="90" w:type="dxa"/>
              <w:right w:w="90" w:type="dxa"/>
            </w:tcMar>
            <w:vAlign w:val="center"/>
          </w:tcPr>
          <w:p w14:paraId="29547323">
            <w:pPr>
              <w:spacing w:after="0" w:line="276" w:lineRule="auto"/>
            </w:pPr>
            <w:r>
              <w:rPr>
                <w:rFonts w:ascii="微软雅黑" w:hAnsi="微软雅黑" w:eastAsia="微软雅黑"/>
                <w:color w:val="243041"/>
                <w:sz w:val="18"/>
              </w:rPr>
              <w:t>月产量 ÷ 目标月产量 × 100%</w:t>
            </w:r>
          </w:p>
        </w:tc>
        <w:tc>
          <w:tcPr>
            <w:tcW w:w="3260" w:type="dxa"/>
            <w:shd w:val="clear" w:color="auto" w:fill="F8FAFC"/>
            <w:tcMar>
              <w:top w:w="90" w:type="dxa"/>
              <w:left w:w="90" w:type="dxa"/>
              <w:bottom w:w="90" w:type="dxa"/>
              <w:right w:w="90" w:type="dxa"/>
            </w:tcMar>
            <w:vAlign w:val="center"/>
          </w:tcPr>
          <w:p w14:paraId="45E3F110">
            <w:pPr>
              <w:spacing w:after="0" w:line="276" w:lineRule="auto"/>
            </w:pPr>
            <w:r>
              <w:rPr>
                <w:rFonts w:ascii="微软雅黑" w:hAnsi="微软雅黑" w:eastAsia="微软雅黑"/>
                <w:color w:val="243041"/>
                <w:sz w:val="18"/>
              </w:rPr>
              <w:t>判断计划可行性</w:t>
            </w:r>
          </w:p>
        </w:tc>
      </w:tr>
      <w:tr w14:paraId="20A1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13909920">
            <w:pPr>
              <w:spacing w:after="0" w:line="276" w:lineRule="auto"/>
            </w:pPr>
            <w:r>
              <w:rPr>
                <w:rFonts w:ascii="微软雅黑" w:hAnsi="微软雅黑" w:eastAsia="微软雅黑"/>
                <w:color w:val="243041"/>
                <w:sz w:val="18"/>
              </w:rPr>
              <w:t>平均周期时间</w:t>
            </w:r>
          </w:p>
        </w:tc>
        <w:tc>
          <w:tcPr>
            <w:tcW w:w="4300" w:type="dxa"/>
            <w:tcMar>
              <w:top w:w="90" w:type="dxa"/>
              <w:left w:w="90" w:type="dxa"/>
              <w:bottom w:w="90" w:type="dxa"/>
              <w:right w:w="90" w:type="dxa"/>
            </w:tcMar>
            <w:vAlign w:val="center"/>
          </w:tcPr>
          <w:p w14:paraId="1F6A4763">
            <w:pPr>
              <w:spacing w:after="0" w:line="276" w:lineRule="auto"/>
            </w:pPr>
            <w:r>
              <w:rPr>
                <w:rFonts w:ascii="微软雅黑" w:hAnsi="微软雅黑" w:eastAsia="微软雅黑"/>
                <w:color w:val="243041"/>
                <w:sz w:val="18"/>
              </w:rPr>
              <w:t>各完成发动机从投放到完工的平均时长</w:t>
            </w:r>
          </w:p>
        </w:tc>
        <w:tc>
          <w:tcPr>
            <w:tcW w:w="3260" w:type="dxa"/>
            <w:tcMar>
              <w:top w:w="90" w:type="dxa"/>
              <w:left w:w="90" w:type="dxa"/>
              <w:bottom w:w="90" w:type="dxa"/>
              <w:right w:w="90" w:type="dxa"/>
            </w:tcMar>
            <w:vAlign w:val="center"/>
          </w:tcPr>
          <w:p w14:paraId="05C3EF46">
            <w:pPr>
              <w:spacing w:after="0" w:line="276" w:lineRule="auto"/>
            </w:pPr>
            <w:r>
              <w:rPr>
                <w:rFonts w:ascii="微软雅黑" w:hAnsi="微软雅黑" w:eastAsia="微软雅黑"/>
                <w:color w:val="243041"/>
                <w:sz w:val="18"/>
              </w:rPr>
              <w:t>评估交付周期</w:t>
            </w:r>
          </w:p>
        </w:tc>
      </w:tr>
      <w:tr w14:paraId="4E6B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7C605C22">
            <w:pPr>
              <w:spacing w:after="0" w:line="276" w:lineRule="auto"/>
            </w:pPr>
            <w:r>
              <w:rPr>
                <w:rFonts w:ascii="微软雅黑" w:hAnsi="微软雅黑" w:eastAsia="微软雅黑"/>
                <w:color w:val="243041"/>
                <w:sz w:val="18"/>
              </w:rPr>
              <w:t>一次通过率</w:t>
            </w:r>
          </w:p>
        </w:tc>
        <w:tc>
          <w:tcPr>
            <w:tcW w:w="4300" w:type="dxa"/>
            <w:shd w:val="clear" w:color="auto" w:fill="F8FAFC"/>
            <w:tcMar>
              <w:top w:w="90" w:type="dxa"/>
              <w:left w:w="90" w:type="dxa"/>
              <w:bottom w:w="90" w:type="dxa"/>
              <w:right w:w="90" w:type="dxa"/>
            </w:tcMar>
            <w:vAlign w:val="center"/>
          </w:tcPr>
          <w:p w14:paraId="573C6356">
            <w:pPr>
              <w:spacing w:after="0" w:line="276" w:lineRule="auto"/>
            </w:pPr>
            <w:r>
              <w:rPr>
                <w:rFonts w:ascii="微软雅黑" w:hAnsi="微软雅黑" w:eastAsia="微软雅黑"/>
                <w:color w:val="243041"/>
                <w:sz w:val="18"/>
              </w:rPr>
              <w:t>未发生返工的完成对象占比</w:t>
            </w:r>
          </w:p>
        </w:tc>
        <w:tc>
          <w:tcPr>
            <w:tcW w:w="3260" w:type="dxa"/>
            <w:shd w:val="clear" w:color="auto" w:fill="F8FAFC"/>
            <w:tcMar>
              <w:top w:w="90" w:type="dxa"/>
              <w:left w:w="90" w:type="dxa"/>
              <w:bottom w:w="90" w:type="dxa"/>
              <w:right w:w="90" w:type="dxa"/>
            </w:tcMar>
            <w:vAlign w:val="center"/>
          </w:tcPr>
          <w:p w14:paraId="0A54AB08">
            <w:pPr>
              <w:spacing w:after="0" w:line="276" w:lineRule="auto"/>
            </w:pPr>
            <w:r>
              <w:rPr>
                <w:rFonts w:ascii="微软雅黑" w:hAnsi="微软雅黑" w:eastAsia="微软雅黑"/>
                <w:color w:val="243041"/>
                <w:sz w:val="18"/>
              </w:rPr>
              <w:t>评估质量稳定性</w:t>
            </w:r>
          </w:p>
        </w:tc>
      </w:tr>
      <w:tr w14:paraId="6EB7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401E8264">
            <w:pPr>
              <w:spacing w:after="0" w:line="276" w:lineRule="auto"/>
            </w:pPr>
            <w:r>
              <w:rPr>
                <w:rFonts w:ascii="微软雅黑" w:hAnsi="微软雅黑" w:eastAsia="微软雅黑"/>
                <w:color w:val="243041"/>
                <w:sz w:val="18"/>
              </w:rPr>
              <w:t>总休息时间</w:t>
            </w:r>
          </w:p>
        </w:tc>
        <w:tc>
          <w:tcPr>
            <w:tcW w:w="4300" w:type="dxa"/>
            <w:tcMar>
              <w:top w:w="90" w:type="dxa"/>
              <w:left w:w="90" w:type="dxa"/>
              <w:bottom w:w="90" w:type="dxa"/>
              <w:right w:w="90" w:type="dxa"/>
            </w:tcMar>
            <w:vAlign w:val="center"/>
          </w:tcPr>
          <w:p w14:paraId="2E47F792">
            <w:pPr>
              <w:spacing w:after="0" w:line="276" w:lineRule="auto"/>
            </w:pPr>
            <w:r>
              <w:rPr>
                <w:rFonts w:ascii="微软雅黑" w:hAnsi="微软雅黑" w:eastAsia="微软雅黑"/>
                <w:color w:val="243041"/>
                <w:sz w:val="18"/>
              </w:rPr>
              <w:t>全部工人休息事件持续时间总和</w:t>
            </w:r>
          </w:p>
        </w:tc>
        <w:tc>
          <w:tcPr>
            <w:tcW w:w="3260" w:type="dxa"/>
            <w:tcMar>
              <w:top w:w="90" w:type="dxa"/>
              <w:left w:w="90" w:type="dxa"/>
              <w:bottom w:w="90" w:type="dxa"/>
              <w:right w:w="90" w:type="dxa"/>
            </w:tcMar>
            <w:vAlign w:val="center"/>
          </w:tcPr>
          <w:p w14:paraId="11FBCF1C">
            <w:pPr>
              <w:spacing w:after="0" w:line="276" w:lineRule="auto"/>
            </w:pPr>
            <w:r>
              <w:rPr>
                <w:rFonts w:ascii="微软雅黑" w:hAnsi="微软雅黑" w:eastAsia="微软雅黑"/>
                <w:color w:val="243041"/>
                <w:sz w:val="18"/>
              </w:rPr>
              <w:t>量化人因干预</w:t>
            </w:r>
          </w:p>
        </w:tc>
      </w:tr>
      <w:tr w14:paraId="22ED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1007FAE8">
            <w:pPr>
              <w:spacing w:after="0" w:line="276" w:lineRule="auto"/>
            </w:pPr>
            <w:r>
              <w:rPr>
                <w:rFonts w:ascii="微软雅黑" w:hAnsi="微软雅黑" w:eastAsia="微软雅黑"/>
                <w:color w:val="243041"/>
                <w:sz w:val="18"/>
              </w:rPr>
              <w:t>高强度任务暴露</w:t>
            </w:r>
          </w:p>
        </w:tc>
        <w:tc>
          <w:tcPr>
            <w:tcW w:w="4300" w:type="dxa"/>
            <w:shd w:val="clear" w:color="auto" w:fill="F8FAFC"/>
            <w:tcMar>
              <w:top w:w="90" w:type="dxa"/>
              <w:left w:w="90" w:type="dxa"/>
              <w:bottom w:w="90" w:type="dxa"/>
              <w:right w:w="90" w:type="dxa"/>
            </w:tcMar>
            <w:vAlign w:val="center"/>
          </w:tcPr>
          <w:p w14:paraId="58C925CB">
            <w:pPr>
              <w:spacing w:after="0" w:line="276" w:lineRule="auto"/>
            </w:pPr>
            <w:r>
              <w:rPr>
                <w:rFonts w:ascii="微软雅黑" w:hAnsi="微软雅黑" w:eastAsia="微软雅黑"/>
                <w:color w:val="243041"/>
                <w:sz w:val="18"/>
              </w:rPr>
              <w:t>超过 REBA 阈值的任务暴露次数</w:t>
            </w:r>
          </w:p>
        </w:tc>
        <w:tc>
          <w:tcPr>
            <w:tcW w:w="3260" w:type="dxa"/>
            <w:shd w:val="clear" w:color="auto" w:fill="F8FAFC"/>
            <w:tcMar>
              <w:top w:w="90" w:type="dxa"/>
              <w:left w:w="90" w:type="dxa"/>
              <w:bottom w:w="90" w:type="dxa"/>
              <w:right w:w="90" w:type="dxa"/>
            </w:tcMar>
            <w:vAlign w:val="center"/>
          </w:tcPr>
          <w:p w14:paraId="618E0E7F">
            <w:pPr>
              <w:spacing w:after="0" w:line="276" w:lineRule="auto"/>
            </w:pPr>
            <w:r>
              <w:rPr>
                <w:rFonts w:ascii="微软雅黑" w:hAnsi="微软雅黑" w:eastAsia="微软雅黑"/>
                <w:color w:val="243041"/>
                <w:sz w:val="18"/>
              </w:rPr>
              <w:t>识别人因风险</w:t>
            </w:r>
          </w:p>
        </w:tc>
      </w:tr>
    </w:tbl>
    <w:p w14:paraId="3FE35315">
      <w:pPr>
        <w:spacing w:after="0"/>
      </w:pPr>
    </w:p>
    <w:p w14:paraId="041DC98F">
      <w:pPr>
        <w:spacing w:before="40" w:after="40"/>
        <w:jc w:val="center"/>
      </w:pPr>
      <w:r>
        <w:drawing>
          <wp:inline distT="0" distB="0" distL="114300" distR="114300">
            <wp:extent cx="5897880" cy="1708150"/>
            <wp:effectExtent l="0" t="0" r="7620" b="6350"/>
            <wp:docPr id="5" name="Picture 5" descr="图 8-1  本次真实仿真 KPI：月产量12台、达成率120%、平均周期69.1小时、一次通过率100%" title="图 8-1  本次真实仿真 KPI：月产量12台、达成率120%、平均周期69.1小时、一次通过率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8-1  本次真实仿真 KPI：月产量12台、达成率120%、平均周期69.1小时、一次通过率100%" title="图 8-1  本次真实仿真 KPI：月产量12台、达成率120%、平均周期69.1小时、一次通过率100%"/>
                    <pic:cNvPicPr>
                      <a:picLocks noChangeAspect="1"/>
                    </pic:cNvPicPr>
                  </pic:nvPicPr>
                  <pic:blipFill>
                    <a:blip r:embed="rId14"/>
                    <a:stretch>
                      <a:fillRect/>
                    </a:stretch>
                  </pic:blipFill>
                  <pic:spPr>
                    <a:xfrm>
                      <a:off x="0" y="0"/>
                      <a:ext cx="5897880" cy="1708513"/>
                    </a:xfrm>
                    <a:prstGeom prst="rect">
                      <a:avLst/>
                    </a:prstGeom>
                  </pic:spPr>
                </pic:pic>
              </a:graphicData>
            </a:graphic>
          </wp:inline>
        </w:drawing>
      </w:r>
    </w:p>
    <w:p w14:paraId="12FAEED1">
      <w:pPr>
        <w:keepLines/>
        <w:spacing w:after="140"/>
        <w:jc w:val="center"/>
      </w:pPr>
      <w:r>
        <w:rPr>
          <w:rFonts w:ascii="微软雅黑" w:hAnsi="微软雅黑" w:eastAsia="微软雅黑"/>
          <w:color w:val="5B6675"/>
          <w:sz w:val="18"/>
        </w:rPr>
        <w:t>图 8-1  本次真实仿真 KPI：月产量12台、达成率120%、平均周期69.1小时、一次通过率100%</w:t>
      </w:r>
    </w:p>
    <w:p w14:paraId="05A3270B">
      <w:pPr>
        <w:pStyle w:val="4"/>
        <w:keepNext/>
        <w:keepLines/>
      </w:pPr>
      <w:bookmarkStart w:id="39" w:name="_Toc12850"/>
      <w:r>
        <w:t>8.2 工人和设备利用率</w:t>
      </w:r>
      <w:bookmarkEnd w:id="39"/>
    </w:p>
    <w:p w14:paraId="62DC61D4">
      <w:pPr>
        <w:spacing w:after="80" w:line="324" w:lineRule="auto"/>
        <w:ind w:firstLine="420"/>
      </w:pPr>
      <w:r>
        <w:rPr>
          <w:rFonts w:ascii="微软雅黑" w:hAnsi="微软雅黑" w:eastAsia="微软雅黑"/>
          <w:sz w:val="22"/>
        </w:rPr>
        <w:t>工人利用率采用堆叠柱状图，将每名工人的时间分解为工作、休息和空闲；设备利用率按关键设备显示忙碌与空闲比例。用户可比较不同资源的饱和程度，并结合等待数据判断是否需要增加资源、调整任务分配或改变投放节拍。</w:t>
      </w:r>
    </w:p>
    <w:p w14:paraId="0B6362EC">
      <w:pPr>
        <w:pStyle w:val="4"/>
        <w:keepNext/>
        <w:keepLines/>
      </w:pPr>
      <w:bookmarkStart w:id="40" w:name="_Toc7319"/>
      <w:r>
        <w:t>8.3 疲劳度演化</w:t>
      </w:r>
      <w:bookmarkEnd w:id="40"/>
    </w:p>
    <w:p w14:paraId="475F6B5D">
      <w:pPr>
        <w:spacing w:after="80" w:line="324" w:lineRule="auto"/>
        <w:ind w:firstLine="420"/>
      </w:pPr>
      <w:r>
        <w:rPr>
          <w:rFonts w:ascii="微软雅黑" w:hAnsi="微软雅黑" w:eastAsia="微软雅黑"/>
          <w:sz w:val="22"/>
        </w:rPr>
        <w:t>疲劳曲线与利用率图共享同一仿真结果数据，可在资源负荷视角之外补充人员健康约束。曲线的周期性下降反映自动休息和空闲恢复，持续高位则提示需要调整工序负荷、增加轮换人员或优化休息规则。</w:t>
      </w:r>
    </w:p>
    <w:p w14:paraId="2B15C9CD">
      <w:pPr>
        <w:spacing w:before="40" w:after="40"/>
        <w:jc w:val="center"/>
      </w:pPr>
      <w:r>
        <w:drawing>
          <wp:inline distT="0" distB="0" distL="114300" distR="114300">
            <wp:extent cx="5897880" cy="3319145"/>
            <wp:effectExtent l="0" t="0" r="7620" b="8255"/>
            <wp:docPr id="6" name="Picture 6" descr="图 8-2  工人/设备利用率堆叠柱状图与疲劳度演化折线图" title="图 8-2  工人/设备利用率堆叠柱状图与疲劳度演化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8-2  工人/设备利用率堆叠柱状图与疲劳度演化折线图" title="图 8-2  工人/设备利用率堆叠柱状图与疲劳度演化折线图"/>
                    <pic:cNvPicPr>
                      <a:picLocks noChangeAspect="1"/>
                    </pic:cNvPicPr>
                  </pic:nvPicPr>
                  <pic:blipFill>
                    <a:blip r:embed="rId15"/>
                    <a:stretch>
                      <a:fillRect/>
                    </a:stretch>
                  </pic:blipFill>
                  <pic:spPr>
                    <a:xfrm>
                      <a:off x="0" y="0"/>
                      <a:ext cx="5897880" cy="3319597"/>
                    </a:xfrm>
                    <a:prstGeom prst="rect">
                      <a:avLst/>
                    </a:prstGeom>
                  </pic:spPr>
                </pic:pic>
              </a:graphicData>
            </a:graphic>
          </wp:inline>
        </w:drawing>
      </w:r>
    </w:p>
    <w:p w14:paraId="5EAA5D24">
      <w:pPr>
        <w:keepLines/>
        <w:spacing w:after="140"/>
        <w:jc w:val="center"/>
      </w:pPr>
      <w:r>
        <w:rPr>
          <w:rFonts w:ascii="微软雅黑" w:hAnsi="微软雅黑" w:eastAsia="微软雅黑"/>
          <w:color w:val="5B6675"/>
          <w:sz w:val="18"/>
        </w:rPr>
        <w:t>图 8-2  工人/设备利用率堆叠柱状图与疲劳度演化折线图</w:t>
      </w:r>
    </w:p>
    <w:p w14:paraId="237F5CD3">
      <w:pPr>
        <w:pStyle w:val="4"/>
        <w:keepNext/>
        <w:keepLines/>
      </w:pPr>
      <w:bookmarkStart w:id="41" w:name="_Toc12394"/>
      <w:r>
        <w:t>8.4 智能瓶颈分析</w:t>
      </w:r>
      <w:bookmarkEnd w:id="41"/>
    </w:p>
    <w:p w14:paraId="1A4D588F">
      <w:pPr>
        <w:spacing w:after="80" w:line="324" w:lineRule="auto"/>
        <w:ind w:firstLine="420"/>
      </w:pPr>
      <w:r>
        <w:rPr>
          <w:rFonts w:ascii="微软雅黑" w:hAnsi="微软雅黑" w:eastAsia="微软雅黑"/>
          <w:sz w:val="22"/>
        </w:rPr>
        <w:t>系统基于等待时间、资源占用、任务阻塞和工位统计识别瓶颈，按严重程度排列重点任务与资源，并输出导向性改进建议。建议包括增加关键资源容量、调整优先级、优化投放节拍、拆分长任务和改善工位间物流等。</w:t>
      </w:r>
    </w:p>
    <w:p w14:paraId="5227B395">
      <w:pPr>
        <w:spacing w:before="40" w:after="40"/>
        <w:jc w:val="center"/>
      </w:pPr>
      <w:r>
        <w:drawing>
          <wp:inline distT="0" distB="0" distL="114300" distR="114300">
            <wp:extent cx="5897880" cy="3319145"/>
            <wp:effectExtent l="0" t="0" r="7620" b="8255"/>
            <wp:docPr id="7" name="Picture 7" descr="图 8-3  质量统计及瓶颈分析：自动汇总瓶颈数量、严重度和等待任务" title="图 8-3  质量统计及瓶颈分析：自动汇总瓶颈数量、严重度和等待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8-3  质量统计及瓶颈分析：自动汇总瓶颈数量、严重度和等待任务" title="图 8-3  质量统计及瓶颈分析：自动汇总瓶颈数量、严重度和等待任务"/>
                    <pic:cNvPicPr>
                      <a:picLocks noChangeAspect="1"/>
                    </pic:cNvPicPr>
                  </pic:nvPicPr>
                  <pic:blipFill>
                    <a:blip r:embed="rId16"/>
                    <a:stretch>
                      <a:fillRect/>
                    </a:stretch>
                  </pic:blipFill>
                  <pic:spPr>
                    <a:xfrm>
                      <a:off x="0" y="0"/>
                      <a:ext cx="5897880" cy="3319597"/>
                    </a:xfrm>
                    <a:prstGeom prst="rect">
                      <a:avLst/>
                    </a:prstGeom>
                  </pic:spPr>
                </pic:pic>
              </a:graphicData>
            </a:graphic>
          </wp:inline>
        </w:drawing>
      </w:r>
    </w:p>
    <w:p w14:paraId="78A7F1CB">
      <w:pPr>
        <w:keepLines/>
        <w:spacing w:after="140"/>
        <w:jc w:val="center"/>
      </w:pPr>
      <w:r>
        <w:rPr>
          <w:rFonts w:ascii="微软雅黑" w:hAnsi="微软雅黑" w:eastAsia="微软雅黑"/>
          <w:color w:val="5B6675"/>
          <w:sz w:val="18"/>
        </w:rPr>
        <w:t>图 8-3  质量统计及瓶颈分析：自动汇总瓶颈数量、严重度和等待任务</w:t>
      </w:r>
    </w:p>
    <w:p w14:paraId="3CED6A08">
      <w:pPr>
        <w:pStyle w:val="4"/>
        <w:keepNext/>
        <w:keepLines/>
      </w:pPr>
      <w:bookmarkStart w:id="42" w:name="_Toc9048"/>
      <w:r>
        <w:t>8.5 工位统计与物流流转</w:t>
      </w:r>
      <w:bookmarkEnd w:id="42"/>
    </w:p>
    <w:p w14:paraId="48175651">
      <w:pPr>
        <w:spacing w:after="80" w:line="324" w:lineRule="auto"/>
        <w:ind w:firstLine="420"/>
      </w:pPr>
      <w:r>
        <w:rPr>
          <w:rFonts w:ascii="微软雅黑" w:hAnsi="微软雅黑" w:eastAsia="微软雅黑"/>
          <w:sz w:val="22"/>
        </w:rPr>
        <w:t>工位分析汇总各工位的执行次数、总加工时间、平均等待时间和涉及发动机数量，并对等待时间较长的工位进行排序。物流流转模块根据相邻任务的工位变化统计路径频次，生成主要流转路径和工位转移矩阵。</w:t>
      </w:r>
    </w:p>
    <w:p w14:paraId="15906AA9">
      <w:pPr>
        <w:spacing w:before="40" w:after="40"/>
        <w:jc w:val="center"/>
      </w:pPr>
      <w:r>
        <w:drawing>
          <wp:inline distT="0" distB="0" distL="114300" distR="114300">
            <wp:extent cx="5897880" cy="3319145"/>
            <wp:effectExtent l="0" t="0" r="7620" b="8255"/>
            <wp:docPr id="8" name="Picture 8" descr="图 8-4  改进建议、设备利用率及工位执行统计" title="图 8-4  改进建议、设备利用率及工位执行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8-4  改进建议、设备利用率及工位执行统计" title="图 8-4  改进建议、设备利用率及工位执行统计"/>
                    <pic:cNvPicPr>
                      <a:picLocks noChangeAspect="1"/>
                    </pic:cNvPicPr>
                  </pic:nvPicPr>
                  <pic:blipFill>
                    <a:blip r:embed="rId17"/>
                    <a:stretch>
                      <a:fillRect/>
                    </a:stretch>
                  </pic:blipFill>
                  <pic:spPr>
                    <a:xfrm>
                      <a:off x="0" y="0"/>
                      <a:ext cx="5897880" cy="3319597"/>
                    </a:xfrm>
                    <a:prstGeom prst="rect">
                      <a:avLst/>
                    </a:prstGeom>
                  </pic:spPr>
                </pic:pic>
              </a:graphicData>
            </a:graphic>
          </wp:inline>
        </w:drawing>
      </w:r>
    </w:p>
    <w:p w14:paraId="399AC302">
      <w:pPr>
        <w:keepLines/>
        <w:spacing w:after="140"/>
        <w:jc w:val="center"/>
      </w:pPr>
      <w:r>
        <w:rPr>
          <w:rFonts w:ascii="微软雅黑" w:hAnsi="微软雅黑" w:eastAsia="微软雅黑"/>
          <w:color w:val="5B6675"/>
          <w:sz w:val="18"/>
        </w:rPr>
        <w:t>图 8-4  改进建议、设备利用率及工位执行统计</w:t>
      </w:r>
    </w:p>
    <w:p w14:paraId="2D6F016D">
      <w:pPr>
        <w:spacing w:before="40" w:after="40"/>
        <w:jc w:val="center"/>
      </w:pPr>
      <w:r>
        <w:drawing>
          <wp:inline distT="0" distB="0" distL="114300" distR="114300">
            <wp:extent cx="5897880" cy="3319145"/>
            <wp:effectExtent l="0" t="0" r="7620" b="8255"/>
            <wp:docPr id="9" name="Picture 9" descr="图 8-5  工位瓶颈排行、主要流转路径和工位转移矩阵" title="图 8-5  工位瓶颈排行、主要流转路径和工位转移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 8-5  工位瓶颈排行、主要流转路径和工位转移矩阵" title="图 8-5  工位瓶颈排行、主要流转路径和工位转移矩阵"/>
                    <pic:cNvPicPr>
                      <a:picLocks noChangeAspect="1"/>
                    </pic:cNvPicPr>
                  </pic:nvPicPr>
                  <pic:blipFill>
                    <a:blip r:embed="rId18"/>
                    <a:stretch>
                      <a:fillRect/>
                    </a:stretch>
                  </pic:blipFill>
                  <pic:spPr>
                    <a:xfrm>
                      <a:off x="0" y="0"/>
                      <a:ext cx="5897880" cy="3319597"/>
                    </a:xfrm>
                    <a:prstGeom prst="rect">
                      <a:avLst/>
                    </a:prstGeom>
                  </pic:spPr>
                </pic:pic>
              </a:graphicData>
            </a:graphic>
          </wp:inline>
        </w:drawing>
      </w:r>
    </w:p>
    <w:p w14:paraId="7F46E7CF">
      <w:pPr>
        <w:keepLines/>
        <w:spacing w:after="140"/>
        <w:jc w:val="center"/>
      </w:pPr>
      <w:r>
        <w:rPr>
          <w:rFonts w:ascii="微软雅黑" w:hAnsi="微软雅黑" w:eastAsia="微软雅黑"/>
          <w:color w:val="5B6675"/>
          <w:sz w:val="18"/>
        </w:rPr>
        <w:t>图 8-5  工位瓶颈排行、主要流转路径和工位转移矩阵</w:t>
      </w:r>
    </w:p>
    <w:p w14:paraId="3A06F3D5">
      <w:pPr>
        <w:pStyle w:val="3"/>
        <w:keepNext/>
        <w:keepLines/>
      </w:pPr>
      <w:bookmarkStart w:id="43" w:name="_Toc2316"/>
      <w:r>
        <w:t>9 甘特图与排产明细</w:t>
      </w:r>
      <w:bookmarkEnd w:id="43"/>
    </w:p>
    <w:p w14:paraId="50E84BDA">
      <w:pPr>
        <w:pStyle w:val="4"/>
        <w:keepNext/>
        <w:keepLines/>
      </w:pPr>
      <w:bookmarkStart w:id="44" w:name="_Toc32618"/>
      <w:r>
        <w:t>9.1 时间范围筛选</w:t>
      </w:r>
      <w:bookmarkEnd w:id="44"/>
    </w:p>
    <w:p w14:paraId="51D65DDB">
      <w:pPr>
        <w:spacing w:after="80" w:line="324" w:lineRule="auto"/>
        <w:ind w:firstLine="420"/>
      </w:pPr>
      <w:r>
        <w:rPr>
          <w:rFonts w:ascii="微软雅黑" w:hAnsi="微软雅黑" w:eastAsia="微软雅黑"/>
          <w:sz w:val="22"/>
        </w:rPr>
        <w:t>甘特图页面提供起始日、起始小时、结束日和结束小时四个筛选项。点击刷新后，系统仅渲染指定时间窗口内的事件，便于在22个工作日的长周期数据中聚焦某一班次或某一阶段。</w:t>
      </w:r>
    </w:p>
    <w:p w14:paraId="20D6748E">
      <w:pPr>
        <w:pStyle w:val="4"/>
        <w:keepNext/>
        <w:keepLines/>
      </w:pPr>
      <w:bookmarkStart w:id="45" w:name="_Toc15628"/>
      <w:r>
        <w:t>9.2 按发动机的生产进度甘特图</w:t>
      </w:r>
      <w:bookmarkEnd w:id="45"/>
    </w:p>
    <w:p w14:paraId="690FE9FB">
      <w:pPr>
        <w:spacing w:after="80" w:line="324" w:lineRule="auto"/>
        <w:ind w:firstLine="420"/>
      </w:pPr>
      <w:r>
        <w:rPr>
          <w:rFonts w:ascii="微软雅黑" w:hAnsi="微软雅黑" w:eastAsia="微软雅黑"/>
          <w:sz w:val="22"/>
        </w:rPr>
        <w:t>发动机视图每行对应一台发动机，横向时间轴显示各工序、等待、休息和返工状态。错峰起点反映平滑投放策略；任务条的长短对应持续时间；不同颜色用于区分工作、等待、休息和返工。</w:t>
      </w:r>
    </w:p>
    <w:p w14:paraId="30116F0F">
      <w:pPr>
        <w:spacing w:before="40" w:after="40"/>
        <w:jc w:val="center"/>
      </w:pPr>
      <w:r>
        <w:drawing>
          <wp:inline distT="0" distB="0" distL="114300" distR="114300">
            <wp:extent cx="5897880" cy="3319145"/>
            <wp:effectExtent l="0" t="0" r="7620" b="8255"/>
            <wp:docPr id="10" name="Picture 10" descr="图 9-1  按发动机展示的生产进度甘特图及错峰投放效果" title="图 9-1  按发动机展示的生产进度甘特图及错峰投放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 9-1  按发动机展示的生产进度甘特图及错峰投放效果" title="图 9-1  按发动机展示的生产进度甘特图及错峰投放效果"/>
                    <pic:cNvPicPr>
                      <a:picLocks noChangeAspect="1"/>
                    </pic:cNvPicPr>
                  </pic:nvPicPr>
                  <pic:blipFill>
                    <a:blip r:embed="rId19"/>
                    <a:stretch>
                      <a:fillRect/>
                    </a:stretch>
                  </pic:blipFill>
                  <pic:spPr>
                    <a:xfrm>
                      <a:off x="0" y="0"/>
                      <a:ext cx="5897880" cy="3319597"/>
                    </a:xfrm>
                    <a:prstGeom prst="rect">
                      <a:avLst/>
                    </a:prstGeom>
                  </pic:spPr>
                </pic:pic>
              </a:graphicData>
            </a:graphic>
          </wp:inline>
        </w:drawing>
      </w:r>
    </w:p>
    <w:p w14:paraId="5C6E56AE">
      <w:pPr>
        <w:keepLines/>
        <w:spacing w:after="140"/>
        <w:jc w:val="center"/>
      </w:pPr>
      <w:r>
        <w:rPr>
          <w:rFonts w:ascii="微软雅黑" w:hAnsi="微软雅黑" w:eastAsia="微软雅黑"/>
          <w:color w:val="5B6675"/>
          <w:sz w:val="18"/>
        </w:rPr>
        <w:t>图 9-1  按发动机展示的生产进度甘特图及错峰投放效果</w:t>
      </w:r>
    </w:p>
    <w:p w14:paraId="00FE9561">
      <w:pPr>
        <w:pStyle w:val="4"/>
        <w:keepNext/>
        <w:keepLines/>
      </w:pPr>
      <w:bookmarkStart w:id="46" w:name="_Toc7266"/>
      <w:r>
        <w:t>9.3 按工人的资源排产甘特图</w:t>
      </w:r>
      <w:bookmarkEnd w:id="46"/>
    </w:p>
    <w:p w14:paraId="75CDB69B">
      <w:pPr>
        <w:spacing w:after="80" w:line="324" w:lineRule="auto"/>
        <w:ind w:firstLine="420"/>
      </w:pPr>
      <w:r>
        <w:rPr>
          <w:rFonts w:ascii="微软雅黑" w:hAnsi="微软雅黑" w:eastAsia="微软雅黑"/>
          <w:sz w:val="22"/>
        </w:rPr>
        <w:t>工人视图每行对应一名工人，展示其任务序列、等待间隔和休息事件。该视图可用于检查任务分配是否均衡、休息是否按规则插入以及个别工人是否存在长期空闲或连续高负荷。</w:t>
      </w:r>
    </w:p>
    <w:p w14:paraId="77B3B24C">
      <w:pPr>
        <w:spacing w:before="40" w:after="40"/>
        <w:jc w:val="center"/>
      </w:pPr>
      <w:r>
        <w:drawing>
          <wp:inline distT="0" distB="0" distL="114300" distR="114300">
            <wp:extent cx="5897880" cy="3319145"/>
            <wp:effectExtent l="0" t="0" r="7620" b="8255"/>
            <wp:docPr id="11" name="Picture 11" descr="图 9-2  按工人展示的资源排产甘特图，蓝色为工作、紫色为休息" title="图 9-2  按工人展示的资源排产甘特图，蓝色为工作、紫色为休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 9-2  按工人展示的资源排产甘特图，蓝色为工作、紫色为休息" title="图 9-2  按工人展示的资源排产甘特图，蓝色为工作、紫色为休息"/>
                    <pic:cNvPicPr>
                      <a:picLocks noChangeAspect="1"/>
                    </pic:cNvPicPr>
                  </pic:nvPicPr>
                  <pic:blipFill>
                    <a:blip r:embed="rId20"/>
                    <a:stretch>
                      <a:fillRect/>
                    </a:stretch>
                  </pic:blipFill>
                  <pic:spPr>
                    <a:xfrm>
                      <a:off x="0" y="0"/>
                      <a:ext cx="5897880" cy="3319597"/>
                    </a:xfrm>
                    <a:prstGeom prst="rect">
                      <a:avLst/>
                    </a:prstGeom>
                  </pic:spPr>
                </pic:pic>
              </a:graphicData>
            </a:graphic>
          </wp:inline>
        </w:drawing>
      </w:r>
    </w:p>
    <w:p w14:paraId="5DBBBD6F">
      <w:pPr>
        <w:keepLines/>
        <w:spacing w:after="140"/>
        <w:jc w:val="center"/>
      </w:pPr>
      <w:r>
        <w:rPr>
          <w:rFonts w:ascii="微软雅黑" w:hAnsi="微软雅黑" w:eastAsia="微软雅黑"/>
          <w:color w:val="5B6675"/>
          <w:sz w:val="18"/>
        </w:rPr>
        <w:t>图 9-2  按工人展示的资源排产甘特图，蓝色为工作、紫色为休息</w:t>
      </w:r>
    </w:p>
    <w:p w14:paraId="7627F1F9">
      <w:pPr>
        <w:pStyle w:val="4"/>
        <w:keepNext/>
        <w:keepLines/>
      </w:pPr>
      <w:bookmarkStart w:id="47" w:name="_Toc1627"/>
      <w:r>
        <w:t>9.4 甘特图导出</w:t>
      </w:r>
      <w:bookmarkEnd w:id="47"/>
    </w:p>
    <w:p w14:paraId="3CEDBE19">
      <w:pPr>
        <w:spacing w:after="80" w:line="324" w:lineRule="auto"/>
        <w:ind w:firstLine="420"/>
      </w:pPr>
      <w:r>
        <w:rPr>
          <w:rFonts w:ascii="微软雅黑" w:hAnsi="微软雅黑" w:eastAsia="微软雅黑"/>
          <w:sz w:val="22"/>
        </w:rPr>
        <w:t>点击甘特图页的“导出 CSV”可导出当前仿真的时间轴事件。文件包含资源或发动机标识、步骤 ID、任务名称、事件类型、开始时间、结束时间和持续时间，可用于电子表格分析、审计和二次报表。</w:t>
      </w:r>
    </w:p>
    <w:p w14:paraId="1507D0BC">
      <w:pPr>
        <w:pStyle w:val="3"/>
        <w:keepNext/>
        <w:keepLines/>
      </w:pPr>
      <w:bookmarkStart w:id="48" w:name="_Toc32368"/>
      <w:r>
        <w:t>10 数据导入、导出与接口</w:t>
      </w:r>
      <w:bookmarkEnd w:id="48"/>
    </w:p>
    <w:p w14:paraId="25E37210">
      <w:pPr>
        <w:pStyle w:val="4"/>
        <w:keepNext/>
        <w:keepLines/>
      </w:pPr>
      <w:bookmarkStart w:id="49" w:name="_Toc19042"/>
      <w:r>
        <w:t>10.1 工艺 CSV 字段</w:t>
      </w:r>
      <w:bookmarkEnd w:id="4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3E1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90" w:type="dxa"/>
              <w:left w:w="90" w:type="dxa"/>
              <w:bottom w:w="90" w:type="dxa"/>
              <w:right w:w="90" w:type="dxa"/>
            </w:tcMar>
            <w:vAlign w:val="center"/>
          </w:tcPr>
          <w:p w14:paraId="23F9B1F0">
            <w:pPr>
              <w:spacing w:after="0"/>
              <w:jc w:val="center"/>
            </w:pPr>
            <w:r>
              <w:rPr>
                <w:rFonts w:ascii="微软雅黑" w:hAnsi="微软雅黑" w:eastAsia="微软雅黑"/>
                <w:b/>
                <w:color w:val="FFFFFF"/>
                <w:sz w:val="17"/>
              </w:rPr>
              <w:t>CSV 字段</w:t>
            </w:r>
          </w:p>
        </w:tc>
        <w:tc>
          <w:tcPr>
            <w:tcW w:w="900" w:type="dxa"/>
            <w:shd w:val="clear" w:color="auto" w:fill="17324D"/>
            <w:tcMar>
              <w:top w:w="90" w:type="dxa"/>
              <w:left w:w="90" w:type="dxa"/>
              <w:bottom w:w="90" w:type="dxa"/>
              <w:right w:w="90" w:type="dxa"/>
            </w:tcMar>
            <w:vAlign w:val="center"/>
          </w:tcPr>
          <w:p w14:paraId="2ECD8313">
            <w:pPr>
              <w:spacing w:after="0"/>
              <w:jc w:val="center"/>
            </w:pPr>
            <w:r>
              <w:rPr>
                <w:rFonts w:ascii="微软雅黑" w:hAnsi="微软雅黑" w:eastAsia="微软雅黑"/>
                <w:b/>
                <w:color w:val="FFFFFF"/>
                <w:sz w:val="17"/>
              </w:rPr>
              <w:t>必填</w:t>
            </w:r>
          </w:p>
        </w:tc>
        <w:tc>
          <w:tcPr>
            <w:tcW w:w="4100" w:type="dxa"/>
            <w:shd w:val="clear" w:color="auto" w:fill="17324D"/>
            <w:tcMar>
              <w:top w:w="90" w:type="dxa"/>
              <w:left w:w="90" w:type="dxa"/>
              <w:bottom w:w="90" w:type="dxa"/>
              <w:right w:w="90" w:type="dxa"/>
            </w:tcMar>
            <w:vAlign w:val="center"/>
          </w:tcPr>
          <w:p w14:paraId="411003CA">
            <w:pPr>
              <w:spacing w:after="0"/>
              <w:jc w:val="center"/>
            </w:pPr>
            <w:r>
              <w:rPr>
                <w:rFonts w:ascii="微软雅黑" w:hAnsi="微软雅黑" w:eastAsia="微软雅黑"/>
                <w:b/>
                <w:color w:val="FFFFFF"/>
                <w:sz w:val="17"/>
              </w:rPr>
              <w:t>说明</w:t>
            </w:r>
          </w:p>
        </w:tc>
        <w:tc>
          <w:tcPr>
            <w:tcW w:w="2560" w:type="dxa"/>
            <w:shd w:val="clear" w:color="auto" w:fill="17324D"/>
            <w:tcMar>
              <w:top w:w="90" w:type="dxa"/>
              <w:left w:w="90" w:type="dxa"/>
              <w:bottom w:w="90" w:type="dxa"/>
              <w:right w:w="90" w:type="dxa"/>
            </w:tcMar>
            <w:vAlign w:val="center"/>
          </w:tcPr>
          <w:p w14:paraId="7A020BAA">
            <w:pPr>
              <w:spacing w:after="0"/>
              <w:jc w:val="center"/>
            </w:pPr>
            <w:r>
              <w:rPr>
                <w:rFonts w:ascii="微软雅黑" w:hAnsi="微软雅黑" w:eastAsia="微软雅黑"/>
                <w:b/>
                <w:color w:val="FFFFFF"/>
                <w:sz w:val="17"/>
              </w:rPr>
              <w:t>示例</w:t>
            </w:r>
          </w:p>
        </w:tc>
      </w:tr>
      <w:tr w14:paraId="4BD7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208EC9AF">
            <w:pPr>
              <w:spacing w:after="0" w:line="276" w:lineRule="auto"/>
            </w:pPr>
            <w:r>
              <w:rPr>
                <w:rFonts w:ascii="微软雅黑" w:hAnsi="微软雅黑" w:eastAsia="微软雅黑"/>
                <w:color w:val="243041"/>
                <w:sz w:val="17"/>
              </w:rPr>
              <w:t>step_id</w:t>
            </w:r>
          </w:p>
        </w:tc>
        <w:tc>
          <w:tcPr>
            <w:tcW w:w="900" w:type="dxa"/>
            <w:tcMar>
              <w:top w:w="90" w:type="dxa"/>
              <w:left w:w="90" w:type="dxa"/>
              <w:bottom w:w="90" w:type="dxa"/>
              <w:right w:w="90" w:type="dxa"/>
            </w:tcMar>
            <w:vAlign w:val="center"/>
          </w:tcPr>
          <w:p w14:paraId="5BF62163">
            <w:pPr>
              <w:spacing w:after="0" w:line="276" w:lineRule="auto"/>
            </w:pPr>
            <w:r>
              <w:rPr>
                <w:rFonts w:ascii="微软雅黑" w:hAnsi="微软雅黑" w:eastAsia="微软雅黑"/>
                <w:color w:val="243041"/>
                <w:sz w:val="17"/>
              </w:rPr>
              <w:t>是</w:t>
            </w:r>
          </w:p>
        </w:tc>
        <w:tc>
          <w:tcPr>
            <w:tcW w:w="4100" w:type="dxa"/>
            <w:tcMar>
              <w:top w:w="90" w:type="dxa"/>
              <w:left w:w="90" w:type="dxa"/>
              <w:bottom w:w="90" w:type="dxa"/>
              <w:right w:w="90" w:type="dxa"/>
            </w:tcMar>
            <w:vAlign w:val="center"/>
          </w:tcPr>
          <w:p w14:paraId="54407A08">
            <w:pPr>
              <w:spacing w:after="0" w:line="276" w:lineRule="auto"/>
            </w:pPr>
            <w:r>
              <w:rPr>
                <w:rFonts w:ascii="微软雅黑" w:hAnsi="微软雅黑" w:eastAsia="微软雅黑"/>
                <w:color w:val="243041"/>
                <w:sz w:val="17"/>
              </w:rPr>
              <w:t>步骤唯一标识</w:t>
            </w:r>
          </w:p>
        </w:tc>
        <w:tc>
          <w:tcPr>
            <w:tcW w:w="2560" w:type="dxa"/>
            <w:tcMar>
              <w:top w:w="90" w:type="dxa"/>
              <w:left w:w="90" w:type="dxa"/>
              <w:bottom w:w="90" w:type="dxa"/>
              <w:right w:w="90" w:type="dxa"/>
            </w:tcMar>
            <w:vAlign w:val="center"/>
          </w:tcPr>
          <w:p w14:paraId="0A373C00">
            <w:pPr>
              <w:spacing w:after="0" w:line="276" w:lineRule="auto"/>
            </w:pPr>
            <w:r>
              <w:rPr>
                <w:rFonts w:ascii="微软雅黑" w:hAnsi="微软雅黑" w:eastAsia="微软雅黑"/>
                <w:color w:val="243041"/>
                <w:sz w:val="17"/>
              </w:rPr>
              <w:t>S001</w:t>
            </w:r>
          </w:p>
        </w:tc>
      </w:tr>
      <w:tr w14:paraId="5D24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727C1535">
            <w:pPr>
              <w:spacing w:after="0" w:line="276" w:lineRule="auto"/>
            </w:pPr>
            <w:r>
              <w:rPr>
                <w:rFonts w:ascii="微软雅黑" w:hAnsi="微软雅黑" w:eastAsia="微软雅黑"/>
                <w:color w:val="243041"/>
                <w:sz w:val="17"/>
              </w:rPr>
              <w:t>task_name</w:t>
            </w:r>
          </w:p>
        </w:tc>
        <w:tc>
          <w:tcPr>
            <w:tcW w:w="900" w:type="dxa"/>
            <w:shd w:val="clear" w:color="auto" w:fill="F8FAFC"/>
            <w:tcMar>
              <w:top w:w="90" w:type="dxa"/>
              <w:left w:w="90" w:type="dxa"/>
              <w:bottom w:w="90" w:type="dxa"/>
              <w:right w:w="90" w:type="dxa"/>
            </w:tcMar>
            <w:vAlign w:val="center"/>
          </w:tcPr>
          <w:p w14:paraId="531003C8">
            <w:pPr>
              <w:spacing w:after="0" w:line="276" w:lineRule="auto"/>
            </w:pPr>
            <w:r>
              <w:rPr>
                <w:rFonts w:ascii="微软雅黑" w:hAnsi="微软雅黑" w:eastAsia="微软雅黑"/>
                <w:color w:val="243041"/>
                <w:sz w:val="17"/>
              </w:rPr>
              <w:t>是</w:t>
            </w:r>
          </w:p>
        </w:tc>
        <w:tc>
          <w:tcPr>
            <w:tcW w:w="4100" w:type="dxa"/>
            <w:shd w:val="clear" w:color="auto" w:fill="F8FAFC"/>
            <w:tcMar>
              <w:top w:w="90" w:type="dxa"/>
              <w:left w:w="90" w:type="dxa"/>
              <w:bottom w:w="90" w:type="dxa"/>
              <w:right w:w="90" w:type="dxa"/>
            </w:tcMar>
            <w:vAlign w:val="center"/>
          </w:tcPr>
          <w:p w14:paraId="535FD0B6">
            <w:pPr>
              <w:spacing w:after="0" w:line="276" w:lineRule="auto"/>
            </w:pPr>
            <w:r>
              <w:rPr>
                <w:rFonts w:ascii="微软雅黑" w:hAnsi="微软雅黑" w:eastAsia="微软雅黑"/>
                <w:color w:val="243041"/>
                <w:sz w:val="17"/>
              </w:rPr>
              <w:t>任务名称</w:t>
            </w:r>
          </w:p>
        </w:tc>
        <w:tc>
          <w:tcPr>
            <w:tcW w:w="2560" w:type="dxa"/>
            <w:shd w:val="clear" w:color="auto" w:fill="F8FAFC"/>
            <w:tcMar>
              <w:top w:w="90" w:type="dxa"/>
              <w:left w:w="90" w:type="dxa"/>
              <w:bottom w:w="90" w:type="dxa"/>
              <w:right w:w="90" w:type="dxa"/>
            </w:tcMar>
            <w:vAlign w:val="center"/>
          </w:tcPr>
          <w:p w14:paraId="4360BA9F">
            <w:pPr>
              <w:spacing w:after="0" w:line="276" w:lineRule="auto"/>
            </w:pPr>
            <w:r>
              <w:rPr>
                <w:rFonts w:ascii="微软雅黑" w:hAnsi="微软雅黑" w:eastAsia="微软雅黑"/>
                <w:color w:val="243041"/>
                <w:sz w:val="17"/>
              </w:rPr>
              <w:t>零件接收与登记</w:t>
            </w:r>
          </w:p>
        </w:tc>
      </w:tr>
      <w:tr w14:paraId="600B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265DCFBC">
            <w:pPr>
              <w:spacing w:after="0" w:line="276" w:lineRule="auto"/>
            </w:pPr>
            <w:r>
              <w:rPr>
                <w:rFonts w:ascii="微软雅黑" w:hAnsi="微软雅黑" w:eastAsia="微软雅黑"/>
                <w:color w:val="243041"/>
                <w:sz w:val="17"/>
              </w:rPr>
              <w:t>op_type</w:t>
            </w:r>
          </w:p>
        </w:tc>
        <w:tc>
          <w:tcPr>
            <w:tcW w:w="900" w:type="dxa"/>
            <w:tcMar>
              <w:top w:w="90" w:type="dxa"/>
              <w:left w:w="90" w:type="dxa"/>
              <w:bottom w:w="90" w:type="dxa"/>
              <w:right w:w="90" w:type="dxa"/>
            </w:tcMar>
            <w:vAlign w:val="center"/>
          </w:tcPr>
          <w:p w14:paraId="560EEA6E">
            <w:pPr>
              <w:spacing w:after="0" w:line="276" w:lineRule="auto"/>
            </w:pPr>
            <w:r>
              <w:rPr>
                <w:rFonts w:ascii="微软雅黑" w:hAnsi="微软雅黑" w:eastAsia="微软雅黑"/>
                <w:color w:val="243041"/>
                <w:sz w:val="17"/>
              </w:rPr>
              <w:t>是</w:t>
            </w:r>
          </w:p>
        </w:tc>
        <w:tc>
          <w:tcPr>
            <w:tcW w:w="4100" w:type="dxa"/>
            <w:tcMar>
              <w:top w:w="90" w:type="dxa"/>
              <w:left w:w="90" w:type="dxa"/>
              <w:bottom w:w="90" w:type="dxa"/>
              <w:right w:w="90" w:type="dxa"/>
            </w:tcMar>
            <w:vAlign w:val="center"/>
          </w:tcPr>
          <w:p w14:paraId="3FC48117">
            <w:pPr>
              <w:spacing w:after="0" w:line="276" w:lineRule="auto"/>
            </w:pPr>
            <w:r>
              <w:rPr>
                <w:rFonts w:ascii="微软雅黑" w:hAnsi="微软雅黑" w:eastAsia="微软雅黑"/>
                <w:color w:val="243041"/>
                <w:sz w:val="17"/>
              </w:rPr>
              <w:t>H/A/M/T/D</w:t>
            </w:r>
          </w:p>
        </w:tc>
        <w:tc>
          <w:tcPr>
            <w:tcW w:w="2560" w:type="dxa"/>
            <w:tcMar>
              <w:top w:w="90" w:type="dxa"/>
              <w:left w:w="90" w:type="dxa"/>
              <w:bottom w:w="90" w:type="dxa"/>
              <w:right w:w="90" w:type="dxa"/>
            </w:tcMar>
            <w:vAlign w:val="center"/>
          </w:tcPr>
          <w:p w14:paraId="35F856CF">
            <w:pPr>
              <w:spacing w:after="0" w:line="276" w:lineRule="auto"/>
            </w:pPr>
            <w:r>
              <w:rPr>
                <w:rFonts w:ascii="微软雅黑" w:hAnsi="微软雅黑" w:eastAsia="微软雅黑"/>
                <w:color w:val="243041"/>
                <w:sz w:val="17"/>
              </w:rPr>
              <w:t>A</w:t>
            </w:r>
          </w:p>
        </w:tc>
      </w:tr>
      <w:tr w14:paraId="4F434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004F5A3A">
            <w:pPr>
              <w:spacing w:after="0" w:line="276" w:lineRule="auto"/>
            </w:pPr>
            <w:r>
              <w:rPr>
                <w:rFonts w:ascii="微软雅黑" w:hAnsi="微软雅黑" w:eastAsia="微软雅黑"/>
                <w:color w:val="243041"/>
                <w:sz w:val="17"/>
              </w:rPr>
              <w:t>predecessors</w:t>
            </w:r>
          </w:p>
        </w:tc>
        <w:tc>
          <w:tcPr>
            <w:tcW w:w="900" w:type="dxa"/>
            <w:shd w:val="clear" w:color="auto" w:fill="F8FAFC"/>
            <w:tcMar>
              <w:top w:w="90" w:type="dxa"/>
              <w:left w:w="90" w:type="dxa"/>
              <w:bottom w:w="90" w:type="dxa"/>
              <w:right w:w="90" w:type="dxa"/>
            </w:tcMar>
            <w:vAlign w:val="center"/>
          </w:tcPr>
          <w:p w14:paraId="51F4630C">
            <w:pPr>
              <w:spacing w:after="0" w:line="276" w:lineRule="auto"/>
            </w:pPr>
            <w:r>
              <w:rPr>
                <w:rFonts w:ascii="微软雅黑" w:hAnsi="微软雅黑" w:eastAsia="微软雅黑"/>
                <w:color w:val="243041"/>
                <w:sz w:val="17"/>
              </w:rPr>
              <w:t>否</w:t>
            </w:r>
          </w:p>
        </w:tc>
        <w:tc>
          <w:tcPr>
            <w:tcW w:w="4100" w:type="dxa"/>
            <w:shd w:val="clear" w:color="auto" w:fill="F8FAFC"/>
            <w:tcMar>
              <w:top w:w="90" w:type="dxa"/>
              <w:left w:w="90" w:type="dxa"/>
              <w:bottom w:w="90" w:type="dxa"/>
              <w:right w:w="90" w:type="dxa"/>
            </w:tcMar>
            <w:vAlign w:val="center"/>
          </w:tcPr>
          <w:p w14:paraId="6357BF45">
            <w:pPr>
              <w:spacing w:after="0" w:line="276" w:lineRule="auto"/>
            </w:pPr>
            <w:r>
              <w:rPr>
                <w:rFonts w:ascii="微软雅黑" w:hAnsi="微软雅黑" w:eastAsia="微软雅黑"/>
                <w:color w:val="243041"/>
                <w:sz w:val="17"/>
              </w:rPr>
              <w:t>前置步骤，多个以分号分隔</w:t>
            </w:r>
          </w:p>
        </w:tc>
        <w:tc>
          <w:tcPr>
            <w:tcW w:w="2560" w:type="dxa"/>
            <w:shd w:val="clear" w:color="auto" w:fill="F8FAFC"/>
            <w:tcMar>
              <w:top w:w="90" w:type="dxa"/>
              <w:left w:w="90" w:type="dxa"/>
              <w:bottom w:w="90" w:type="dxa"/>
              <w:right w:w="90" w:type="dxa"/>
            </w:tcMar>
            <w:vAlign w:val="center"/>
          </w:tcPr>
          <w:p w14:paraId="2CEEC088">
            <w:pPr>
              <w:spacing w:after="0" w:line="276" w:lineRule="auto"/>
            </w:pPr>
            <w:r>
              <w:rPr>
                <w:rFonts w:ascii="微软雅黑" w:hAnsi="微软雅黑" w:eastAsia="微软雅黑"/>
                <w:color w:val="243041"/>
                <w:sz w:val="17"/>
              </w:rPr>
              <w:t>S001;S002</w:t>
            </w:r>
          </w:p>
        </w:tc>
      </w:tr>
      <w:tr w14:paraId="408C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658136D4">
            <w:pPr>
              <w:spacing w:after="0" w:line="276" w:lineRule="auto"/>
            </w:pPr>
            <w:r>
              <w:rPr>
                <w:rFonts w:ascii="微软雅黑" w:hAnsi="微软雅黑" w:eastAsia="微软雅黑"/>
                <w:color w:val="243041"/>
                <w:sz w:val="17"/>
              </w:rPr>
              <w:t>std_duration</w:t>
            </w:r>
          </w:p>
        </w:tc>
        <w:tc>
          <w:tcPr>
            <w:tcW w:w="900" w:type="dxa"/>
            <w:tcMar>
              <w:top w:w="90" w:type="dxa"/>
              <w:left w:w="90" w:type="dxa"/>
              <w:bottom w:w="90" w:type="dxa"/>
              <w:right w:w="90" w:type="dxa"/>
            </w:tcMar>
            <w:vAlign w:val="center"/>
          </w:tcPr>
          <w:p w14:paraId="26E99387">
            <w:pPr>
              <w:spacing w:after="0" w:line="276" w:lineRule="auto"/>
            </w:pPr>
            <w:r>
              <w:rPr>
                <w:rFonts w:ascii="微软雅黑" w:hAnsi="微软雅黑" w:eastAsia="微软雅黑"/>
                <w:color w:val="243041"/>
                <w:sz w:val="17"/>
              </w:rPr>
              <w:t>是</w:t>
            </w:r>
          </w:p>
        </w:tc>
        <w:tc>
          <w:tcPr>
            <w:tcW w:w="4100" w:type="dxa"/>
            <w:tcMar>
              <w:top w:w="90" w:type="dxa"/>
              <w:left w:w="90" w:type="dxa"/>
              <w:bottom w:w="90" w:type="dxa"/>
              <w:right w:w="90" w:type="dxa"/>
            </w:tcMar>
            <w:vAlign w:val="center"/>
          </w:tcPr>
          <w:p w14:paraId="3987BC47">
            <w:pPr>
              <w:spacing w:after="0" w:line="276" w:lineRule="auto"/>
            </w:pPr>
            <w:r>
              <w:rPr>
                <w:rFonts w:ascii="微软雅黑" w:hAnsi="微软雅黑" w:eastAsia="微软雅黑"/>
                <w:color w:val="243041"/>
                <w:sz w:val="17"/>
              </w:rPr>
              <w:t>标准工时，分钟</w:t>
            </w:r>
          </w:p>
        </w:tc>
        <w:tc>
          <w:tcPr>
            <w:tcW w:w="2560" w:type="dxa"/>
            <w:tcMar>
              <w:top w:w="90" w:type="dxa"/>
              <w:left w:w="90" w:type="dxa"/>
              <w:bottom w:w="90" w:type="dxa"/>
              <w:right w:w="90" w:type="dxa"/>
            </w:tcMar>
            <w:vAlign w:val="center"/>
          </w:tcPr>
          <w:p w14:paraId="212EC545">
            <w:pPr>
              <w:spacing w:after="0" w:line="276" w:lineRule="auto"/>
            </w:pPr>
            <w:r>
              <w:rPr>
                <w:rFonts w:ascii="微软雅黑" w:hAnsi="微软雅黑" w:eastAsia="微软雅黑"/>
                <w:color w:val="243041"/>
                <w:sz w:val="17"/>
              </w:rPr>
              <w:t>45</w:t>
            </w:r>
          </w:p>
        </w:tc>
      </w:tr>
      <w:tr w14:paraId="6BF2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42816980">
            <w:pPr>
              <w:spacing w:after="0" w:line="276" w:lineRule="auto"/>
            </w:pPr>
            <w:r>
              <w:rPr>
                <w:rFonts w:ascii="微软雅黑" w:hAnsi="微软雅黑" w:eastAsia="微软雅黑"/>
                <w:color w:val="243041"/>
                <w:sz w:val="17"/>
              </w:rPr>
              <w:t>time_variance</w:t>
            </w:r>
          </w:p>
        </w:tc>
        <w:tc>
          <w:tcPr>
            <w:tcW w:w="900" w:type="dxa"/>
            <w:shd w:val="clear" w:color="auto" w:fill="F8FAFC"/>
            <w:tcMar>
              <w:top w:w="90" w:type="dxa"/>
              <w:left w:w="90" w:type="dxa"/>
              <w:bottom w:w="90" w:type="dxa"/>
              <w:right w:w="90" w:type="dxa"/>
            </w:tcMar>
            <w:vAlign w:val="center"/>
          </w:tcPr>
          <w:p w14:paraId="19D7FE17">
            <w:pPr>
              <w:spacing w:after="0" w:line="276" w:lineRule="auto"/>
            </w:pPr>
            <w:r>
              <w:rPr>
                <w:rFonts w:ascii="微软雅黑" w:hAnsi="微软雅黑" w:eastAsia="微软雅黑"/>
                <w:color w:val="243041"/>
                <w:sz w:val="17"/>
              </w:rPr>
              <w:t>否</w:t>
            </w:r>
          </w:p>
        </w:tc>
        <w:tc>
          <w:tcPr>
            <w:tcW w:w="4100" w:type="dxa"/>
            <w:shd w:val="clear" w:color="auto" w:fill="F8FAFC"/>
            <w:tcMar>
              <w:top w:w="90" w:type="dxa"/>
              <w:left w:w="90" w:type="dxa"/>
              <w:bottom w:w="90" w:type="dxa"/>
              <w:right w:w="90" w:type="dxa"/>
            </w:tcMar>
            <w:vAlign w:val="center"/>
          </w:tcPr>
          <w:p w14:paraId="034B2E1B">
            <w:pPr>
              <w:spacing w:after="0" w:line="276" w:lineRule="auto"/>
            </w:pPr>
            <w:r>
              <w:rPr>
                <w:rFonts w:ascii="微软雅黑" w:hAnsi="微软雅黑" w:eastAsia="微软雅黑"/>
                <w:color w:val="243041"/>
                <w:sz w:val="17"/>
              </w:rPr>
              <w:t>时间波动</w:t>
            </w:r>
          </w:p>
        </w:tc>
        <w:tc>
          <w:tcPr>
            <w:tcW w:w="2560" w:type="dxa"/>
            <w:shd w:val="clear" w:color="auto" w:fill="F8FAFC"/>
            <w:tcMar>
              <w:top w:w="90" w:type="dxa"/>
              <w:left w:w="90" w:type="dxa"/>
              <w:bottom w:w="90" w:type="dxa"/>
              <w:right w:w="90" w:type="dxa"/>
            </w:tcMar>
            <w:vAlign w:val="center"/>
          </w:tcPr>
          <w:p w14:paraId="3F7B86A5">
            <w:pPr>
              <w:spacing w:after="0" w:line="276" w:lineRule="auto"/>
            </w:pPr>
            <w:r>
              <w:rPr>
                <w:rFonts w:ascii="微软雅黑" w:hAnsi="微软雅黑" w:eastAsia="微软雅黑"/>
                <w:color w:val="243041"/>
                <w:sz w:val="17"/>
              </w:rPr>
              <w:t>5</w:t>
            </w:r>
          </w:p>
        </w:tc>
      </w:tr>
      <w:tr w14:paraId="32AF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043767AC">
            <w:pPr>
              <w:spacing w:after="0" w:line="276" w:lineRule="auto"/>
            </w:pPr>
            <w:r>
              <w:rPr>
                <w:rFonts w:ascii="微软雅黑" w:hAnsi="微软雅黑" w:eastAsia="微软雅黑"/>
                <w:color w:val="243041"/>
                <w:sz w:val="17"/>
              </w:rPr>
              <w:t>work_load_score</w:t>
            </w:r>
          </w:p>
        </w:tc>
        <w:tc>
          <w:tcPr>
            <w:tcW w:w="900" w:type="dxa"/>
            <w:tcMar>
              <w:top w:w="90" w:type="dxa"/>
              <w:left w:w="90" w:type="dxa"/>
              <w:bottom w:w="90" w:type="dxa"/>
              <w:right w:w="90" w:type="dxa"/>
            </w:tcMar>
            <w:vAlign w:val="center"/>
          </w:tcPr>
          <w:p w14:paraId="7A3C990C">
            <w:pPr>
              <w:spacing w:after="0" w:line="276" w:lineRule="auto"/>
            </w:pPr>
            <w:r>
              <w:rPr>
                <w:rFonts w:ascii="微软雅黑" w:hAnsi="微软雅黑" w:eastAsia="微软雅黑"/>
                <w:color w:val="243041"/>
                <w:sz w:val="17"/>
              </w:rPr>
              <w:t>否</w:t>
            </w:r>
          </w:p>
        </w:tc>
        <w:tc>
          <w:tcPr>
            <w:tcW w:w="4100" w:type="dxa"/>
            <w:tcMar>
              <w:top w:w="90" w:type="dxa"/>
              <w:left w:w="90" w:type="dxa"/>
              <w:bottom w:w="90" w:type="dxa"/>
              <w:right w:w="90" w:type="dxa"/>
            </w:tcMar>
            <w:vAlign w:val="center"/>
          </w:tcPr>
          <w:p w14:paraId="12063467">
            <w:pPr>
              <w:spacing w:after="0" w:line="276" w:lineRule="auto"/>
            </w:pPr>
            <w:r>
              <w:rPr>
                <w:rFonts w:ascii="微软雅黑" w:hAnsi="微软雅黑" w:eastAsia="微软雅黑"/>
                <w:color w:val="243041"/>
                <w:sz w:val="17"/>
              </w:rPr>
              <w:t>REBA 负荷评分1至10</w:t>
            </w:r>
          </w:p>
        </w:tc>
        <w:tc>
          <w:tcPr>
            <w:tcW w:w="2560" w:type="dxa"/>
            <w:tcMar>
              <w:top w:w="90" w:type="dxa"/>
              <w:left w:w="90" w:type="dxa"/>
              <w:bottom w:w="90" w:type="dxa"/>
              <w:right w:w="90" w:type="dxa"/>
            </w:tcMar>
            <w:vAlign w:val="center"/>
          </w:tcPr>
          <w:p w14:paraId="60BE5CCA">
            <w:pPr>
              <w:spacing w:after="0" w:line="276" w:lineRule="auto"/>
            </w:pPr>
            <w:r>
              <w:rPr>
                <w:rFonts w:ascii="微软雅黑" w:hAnsi="微软雅黑" w:eastAsia="微软雅黑"/>
                <w:color w:val="243041"/>
                <w:sz w:val="17"/>
              </w:rPr>
              <w:t>6</w:t>
            </w:r>
          </w:p>
        </w:tc>
      </w:tr>
      <w:tr w14:paraId="7C9C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165970C7">
            <w:pPr>
              <w:spacing w:after="0" w:line="276" w:lineRule="auto"/>
            </w:pPr>
            <w:r>
              <w:rPr>
                <w:rFonts w:ascii="微软雅黑" w:hAnsi="微软雅黑" w:eastAsia="微软雅黑"/>
                <w:color w:val="243041"/>
                <w:sz w:val="17"/>
              </w:rPr>
              <w:t>rework_prob</w:t>
            </w:r>
          </w:p>
        </w:tc>
        <w:tc>
          <w:tcPr>
            <w:tcW w:w="900" w:type="dxa"/>
            <w:shd w:val="clear" w:color="auto" w:fill="F8FAFC"/>
            <w:tcMar>
              <w:top w:w="90" w:type="dxa"/>
              <w:left w:w="90" w:type="dxa"/>
              <w:bottom w:w="90" w:type="dxa"/>
              <w:right w:w="90" w:type="dxa"/>
            </w:tcMar>
            <w:vAlign w:val="center"/>
          </w:tcPr>
          <w:p w14:paraId="1AA384B0">
            <w:pPr>
              <w:spacing w:after="0" w:line="276" w:lineRule="auto"/>
            </w:pPr>
            <w:r>
              <w:rPr>
                <w:rFonts w:ascii="微软雅黑" w:hAnsi="微软雅黑" w:eastAsia="微软雅黑"/>
                <w:color w:val="243041"/>
                <w:sz w:val="17"/>
              </w:rPr>
              <w:t>否</w:t>
            </w:r>
          </w:p>
        </w:tc>
        <w:tc>
          <w:tcPr>
            <w:tcW w:w="4100" w:type="dxa"/>
            <w:shd w:val="clear" w:color="auto" w:fill="F8FAFC"/>
            <w:tcMar>
              <w:top w:w="90" w:type="dxa"/>
              <w:left w:w="90" w:type="dxa"/>
              <w:bottom w:w="90" w:type="dxa"/>
              <w:right w:w="90" w:type="dxa"/>
            </w:tcMar>
            <w:vAlign w:val="center"/>
          </w:tcPr>
          <w:p w14:paraId="596E18E3">
            <w:pPr>
              <w:spacing w:after="0" w:line="276" w:lineRule="auto"/>
            </w:pPr>
            <w:r>
              <w:rPr>
                <w:rFonts w:ascii="微软雅黑" w:hAnsi="微软雅黑" w:eastAsia="微软雅黑"/>
                <w:color w:val="243041"/>
                <w:sz w:val="17"/>
              </w:rPr>
              <w:t>返工概率0至1</w:t>
            </w:r>
          </w:p>
        </w:tc>
        <w:tc>
          <w:tcPr>
            <w:tcW w:w="2560" w:type="dxa"/>
            <w:shd w:val="clear" w:color="auto" w:fill="F8FAFC"/>
            <w:tcMar>
              <w:top w:w="90" w:type="dxa"/>
              <w:left w:w="90" w:type="dxa"/>
              <w:bottom w:w="90" w:type="dxa"/>
              <w:right w:w="90" w:type="dxa"/>
            </w:tcMar>
            <w:vAlign w:val="center"/>
          </w:tcPr>
          <w:p w14:paraId="456DD20C">
            <w:pPr>
              <w:spacing w:after="0" w:line="276" w:lineRule="auto"/>
            </w:pPr>
            <w:r>
              <w:rPr>
                <w:rFonts w:ascii="微软雅黑" w:hAnsi="微软雅黑" w:eastAsia="微软雅黑"/>
                <w:color w:val="243041"/>
                <w:sz w:val="17"/>
              </w:rPr>
              <w:t>0.08</w:t>
            </w:r>
          </w:p>
        </w:tc>
      </w:tr>
      <w:tr w14:paraId="5DC3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4DDDFF4E">
            <w:pPr>
              <w:spacing w:after="0" w:line="276" w:lineRule="auto"/>
            </w:pPr>
            <w:r>
              <w:rPr>
                <w:rFonts w:ascii="微软雅黑" w:hAnsi="微软雅黑" w:eastAsia="微软雅黑"/>
                <w:color w:val="243041"/>
                <w:sz w:val="17"/>
              </w:rPr>
              <w:t>required_workers</w:t>
            </w:r>
          </w:p>
        </w:tc>
        <w:tc>
          <w:tcPr>
            <w:tcW w:w="900" w:type="dxa"/>
            <w:tcMar>
              <w:top w:w="90" w:type="dxa"/>
              <w:left w:w="90" w:type="dxa"/>
              <w:bottom w:w="90" w:type="dxa"/>
              <w:right w:w="90" w:type="dxa"/>
            </w:tcMar>
            <w:vAlign w:val="center"/>
          </w:tcPr>
          <w:p w14:paraId="7C0A9098">
            <w:pPr>
              <w:spacing w:after="0" w:line="276" w:lineRule="auto"/>
            </w:pPr>
            <w:r>
              <w:rPr>
                <w:rFonts w:ascii="微软雅黑" w:hAnsi="微软雅黑" w:eastAsia="微软雅黑"/>
                <w:color w:val="243041"/>
                <w:sz w:val="17"/>
              </w:rPr>
              <w:t>否</w:t>
            </w:r>
          </w:p>
        </w:tc>
        <w:tc>
          <w:tcPr>
            <w:tcW w:w="4100" w:type="dxa"/>
            <w:tcMar>
              <w:top w:w="90" w:type="dxa"/>
              <w:left w:w="90" w:type="dxa"/>
              <w:bottom w:w="90" w:type="dxa"/>
              <w:right w:w="90" w:type="dxa"/>
            </w:tcMar>
            <w:vAlign w:val="center"/>
          </w:tcPr>
          <w:p w14:paraId="681D75BA">
            <w:pPr>
              <w:spacing w:after="0" w:line="276" w:lineRule="auto"/>
            </w:pPr>
            <w:r>
              <w:rPr>
                <w:rFonts w:ascii="微软雅黑" w:hAnsi="微软雅黑" w:eastAsia="微软雅黑"/>
                <w:color w:val="243041"/>
                <w:sz w:val="17"/>
              </w:rPr>
              <w:t>所需工人数</w:t>
            </w:r>
          </w:p>
        </w:tc>
        <w:tc>
          <w:tcPr>
            <w:tcW w:w="2560" w:type="dxa"/>
            <w:tcMar>
              <w:top w:w="90" w:type="dxa"/>
              <w:left w:w="90" w:type="dxa"/>
              <w:bottom w:w="90" w:type="dxa"/>
              <w:right w:w="90" w:type="dxa"/>
            </w:tcMar>
            <w:vAlign w:val="center"/>
          </w:tcPr>
          <w:p w14:paraId="21FE65F5">
            <w:pPr>
              <w:spacing w:after="0" w:line="276" w:lineRule="auto"/>
            </w:pPr>
            <w:r>
              <w:rPr>
                <w:rFonts w:ascii="微软雅黑" w:hAnsi="微软雅黑" w:eastAsia="微软雅黑"/>
                <w:color w:val="243041"/>
                <w:sz w:val="17"/>
              </w:rPr>
              <w:t>1</w:t>
            </w:r>
          </w:p>
        </w:tc>
      </w:tr>
      <w:tr w14:paraId="62BC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30DAAD4C">
            <w:pPr>
              <w:spacing w:after="0" w:line="276" w:lineRule="auto"/>
            </w:pPr>
            <w:r>
              <w:rPr>
                <w:rFonts w:ascii="微软雅黑" w:hAnsi="微软雅黑" w:eastAsia="微软雅黑"/>
                <w:color w:val="243041"/>
                <w:sz w:val="17"/>
              </w:rPr>
              <w:t>required_tools</w:t>
            </w:r>
          </w:p>
        </w:tc>
        <w:tc>
          <w:tcPr>
            <w:tcW w:w="900" w:type="dxa"/>
            <w:shd w:val="clear" w:color="auto" w:fill="F8FAFC"/>
            <w:tcMar>
              <w:top w:w="90" w:type="dxa"/>
              <w:left w:w="90" w:type="dxa"/>
              <w:bottom w:w="90" w:type="dxa"/>
              <w:right w:w="90" w:type="dxa"/>
            </w:tcMar>
            <w:vAlign w:val="center"/>
          </w:tcPr>
          <w:p w14:paraId="23BAAFEE">
            <w:pPr>
              <w:spacing w:after="0" w:line="276" w:lineRule="auto"/>
            </w:pPr>
            <w:r>
              <w:rPr>
                <w:rFonts w:ascii="微软雅黑" w:hAnsi="微软雅黑" w:eastAsia="微软雅黑"/>
                <w:color w:val="243041"/>
                <w:sz w:val="17"/>
              </w:rPr>
              <w:t>否</w:t>
            </w:r>
          </w:p>
        </w:tc>
        <w:tc>
          <w:tcPr>
            <w:tcW w:w="4100" w:type="dxa"/>
            <w:shd w:val="clear" w:color="auto" w:fill="F8FAFC"/>
            <w:tcMar>
              <w:top w:w="90" w:type="dxa"/>
              <w:left w:w="90" w:type="dxa"/>
              <w:bottom w:w="90" w:type="dxa"/>
              <w:right w:w="90" w:type="dxa"/>
            </w:tcMar>
            <w:vAlign w:val="center"/>
          </w:tcPr>
          <w:p w14:paraId="5D6D7F51">
            <w:pPr>
              <w:spacing w:after="0" w:line="276" w:lineRule="auto"/>
            </w:pPr>
            <w:r>
              <w:rPr>
                <w:rFonts w:ascii="微软雅黑" w:hAnsi="微软雅黑" w:eastAsia="微软雅黑"/>
                <w:color w:val="243041"/>
                <w:sz w:val="17"/>
              </w:rPr>
              <w:t>关键设备名称</w:t>
            </w:r>
          </w:p>
        </w:tc>
        <w:tc>
          <w:tcPr>
            <w:tcW w:w="2560" w:type="dxa"/>
            <w:shd w:val="clear" w:color="auto" w:fill="F8FAFC"/>
            <w:tcMar>
              <w:top w:w="90" w:type="dxa"/>
              <w:left w:w="90" w:type="dxa"/>
              <w:bottom w:w="90" w:type="dxa"/>
              <w:right w:w="90" w:type="dxa"/>
            </w:tcMar>
            <w:vAlign w:val="center"/>
          </w:tcPr>
          <w:p w14:paraId="5B649850">
            <w:pPr>
              <w:spacing w:after="0" w:line="276" w:lineRule="auto"/>
            </w:pPr>
            <w:r>
              <w:rPr>
                <w:rFonts w:ascii="微软雅黑" w:hAnsi="微软雅黑" w:eastAsia="微软雅黑"/>
                <w:color w:val="243041"/>
                <w:sz w:val="17"/>
              </w:rPr>
              <w:t>氦质谱检测系统</w:t>
            </w:r>
          </w:p>
        </w:tc>
      </w:tr>
      <w:tr w14:paraId="401A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06FD49CE">
            <w:pPr>
              <w:spacing w:after="0" w:line="276" w:lineRule="auto"/>
            </w:pPr>
            <w:r>
              <w:rPr>
                <w:rFonts w:ascii="微软雅黑" w:hAnsi="微软雅黑" w:eastAsia="微软雅黑"/>
                <w:color w:val="243041"/>
                <w:sz w:val="17"/>
              </w:rPr>
              <w:t>station</w:t>
            </w:r>
          </w:p>
        </w:tc>
        <w:tc>
          <w:tcPr>
            <w:tcW w:w="900" w:type="dxa"/>
            <w:tcMar>
              <w:top w:w="90" w:type="dxa"/>
              <w:left w:w="90" w:type="dxa"/>
              <w:bottom w:w="90" w:type="dxa"/>
              <w:right w:w="90" w:type="dxa"/>
            </w:tcMar>
            <w:vAlign w:val="center"/>
          </w:tcPr>
          <w:p w14:paraId="67956960">
            <w:pPr>
              <w:spacing w:after="0" w:line="276" w:lineRule="auto"/>
            </w:pPr>
            <w:r>
              <w:rPr>
                <w:rFonts w:ascii="微软雅黑" w:hAnsi="微软雅黑" w:eastAsia="微软雅黑"/>
                <w:color w:val="243041"/>
                <w:sz w:val="17"/>
              </w:rPr>
              <w:t>是</w:t>
            </w:r>
          </w:p>
        </w:tc>
        <w:tc>
          <w:tcPr>
            <w:tcW w:w="4100" w:type="dxa"/>
            <w:tcMar>
              <w:top w:w="90" w:type="dxa"/>
              <w:left w:w="90" w:type="dxa"/>
              <w:bottom w:w="90" w:type="dxa"/>
              <w:right w:w="90" w:type="dxa"/>
            </w:tcMar>
            <w:vAlign w:val="center"/>
          </w:tcPr>
          <w:p w14:paraId="36B93B5A">
            <w:pPr>
              <w:spacing w:after="0" w:line="276" w:lineRule="auto"/>
            </w:pPr>
            <w:r>
              <w:rPr>
                <w:rFonts w:ascii="微软雅黑" w:hAnsi="微软雅黑" w:eastAsia="微软雅黑"/>
                <w:color w:val="243041"/>
                <w:sz w:val="17"/>
              </w:rPr>
              <w:t>所属工位</w:t>
            </w:r>
          </w:p>
        </w:tc>
        <w:tc>
          <w:tcPr>
            <w:tcW w:w="2560" w:type="dxa"/>
            <w:tcMar>
              <w:top w:w="90" w:type="dxa"/>
              <w:left w:w="90" w:type="dxa"/>
              <w:bottom w:w="90" w:type="dxa"/>
              <w:right w:w="90" w:type="dxa"/>
            </w:tcMar>
            <w:vAlign w:val="center"/>
          </w:tcPr>
          <w:p w14:paraId="1223ED77">
            <w:pPr>
              <w:spacing w:after="0" w:line="276" w:lineRule="auto"/>
            </w:pPr>
            <w:r>
              <w:rPr>
                <w:rFonts w:ascii="微软雅黑" w:hAnsi="微软雅黑" w:eastAsia="微软雅黑"/>
                <w:color w:val="243041"/>
                <w:sz w:val="17"/>
              </w:rPr>
              <w:t>ST03</w:t>
            </w:r>
          </w:p>
        </w:tc>
      </w:tr>
    </w:tbl>
    <w:p w14:paraId="070E72F3">
      <w:pPr>
        <w:spacing w:after="0"/>
      </w:pPr>
    </w:p>
    <w:p w14:paraId="1F17AA23">
      <w:pPr>
        <w:pStyle w:val="4"/>
        <w:keepNext/>
        <w:keepLines/>
      </w:pPr>
      <w:bookmarkStart w:id="50" w:name="_Toc1897"/>
      <w:r>
        <w:t>10.2 JSON 请求和结果</w:t>
      </w:r>
      <w:bookmarkEnd w:id="50"/>
    </w:p>
    <w:p w14:paraId="6F5BC1D6">
      <w:pPr>
        <w:spacing w:after="80" w:line="324" w:lineRule="auto"/>
        <w:ind w:firstLine="420"/>
      </w:pPr>
      <w:r>
        <w:rPr>
          <w:rFonts w:ascii="微软雅黑" w:hAnsi="微软雅黑" w:eastAsia="微软雅黑"/>
          <w:sz w:val="22"/>
        </w:rPr>
        <w:t>前端调用后端接口时使用 JSON 结构传输全局配置和流程定义。仿真结果 JSON 包含摘要指标、发动机统计、工人统计、设备统计、事件时间线、质量统计、疲劳数据、瓶颈分析和工位分析。完整报告接口可将全量结果序列化为 JSON 文件。</w:t>
      </w:r>
    </w:p>
    <w:p w14:paraId="18EFEF41">
      <w:pPr>
        <w:pStyle w:val="4"/>
        <w:keepNext/>
        <w:keepLines/>
      </w:pPr>
      <w:bookmarkStart w:id="51" w:name="_Toc30058"/>
      <w:r>
        <w:t>10.3 REST 接口分类</w:t>
      </w:r>
      <w:bookmarkEnd w:id="5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783E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17324D"/>
            <w:tcMar>
              <w:top w:w="90" w:type="dxa"/>
              <w:left w:w="90" w:type="dxa"/>
              <w:bottom w:w="90" w:type="dxa"/>
              <w:right w:w="90" w:type="dxa"/>
            </w:tcMar>
            <w:vAlign w:val="center"/>
          </w:tcPr>
          <w:p w14:paraId="598E242B">
            <w:pPr>
              <w:spacing w:after="0"/>
              <w:jc w:val="center"/>
            </w:pPr>
            <w:r>
              <w:rPr>
                <w:rFonts w:ascii="微软雅黑" w:hAnsi="微软雅黑" w:eastAsia="微软雅黑"/>
                <w:b/>
                <w:color w:val="FFFFFF"/>
                <w:sz w:val="17"/>
              </w:rPr>
              <w:t>接口分类</w:t>
            </w:r>
          </w:p>
        </w:tc>
        <w:tc>
          <w:tcPr>
            <w:tcW w:w="4200" w:type="dxa"/>
            <w:shd w:val="clear" w:color="auto" w:fill="17324D"/>
            <w:tcMar>
              <w:top w:w="90" w:type="dxa"/>
              <w:left w:w="90" w:type="dxa"/>
              <w:bottom w:w="90" w:type="dxa"/>
              <w:right w:w="90" w:type="dxa"/>
            </w:tcMar>
            <w:vAlign w:val="center"/>
          </w:tcPr>
          <w:p w14:paraId="3C795711">
            <w:pPr>
              <w:spacing w:after="0"/>
              <w:jc w:val="center"/>
            </w:pPr>
            <w:r>
              <w:rPr>
                <w:rFonts w:ascii="微软雅黑" w:hAnsi="微软雅黑" w:eastAsia="微软雅黑"/>
                <w:b/>
                <w:color w:val="FFFFFF"/>
                <w:sz w:val="17"/>
              </w:rPr>
              <w:t>典型接口</w:t>
            </w:r>
          </w:p>
        </w:tc>
        <w:tc>
          <w:tcPr>
            <w:tcW w:w="3660" w:type="dxa"/>
            <w:shd w:val="clear" w:color="auto" w:fill="17324D"/>
            <w:tcMar>
              <w:top w:w="90" w:type="dxa"/>
              <w:left w:w="90" w:type="dxa"/>
              <w:bottom w:w="90" w:type="dxa"/>
              <w:right w:w="90" w:type="dxa"/>
            </w:tcMar>
            <w:vAlign w:val="center"/>
          </w:tcPr>
          <w:p w14:paraId="5B99F4F8">
            <w:pPr>
              <w:spacing w:after="0"/>
              <w:jc w:val="center"/>
            </w:pPr>
            <w:r>
              <w:rPr>
                <w:rFonts w:ascii="微软雅黑" w:hAnsi="微软雅黑" w:eastAsia="微软雅黑"/>
                <w:b/>
                <w:color w:val="FFFFFF"/>
                <w:sz w:val="17"/>
              </w:rPr>
              <w:t>功能</w:t>
            </w:r>
          </w:p>
        </w:tc>
      </w:tr>
      <w:tr w14:paraId="58C9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492879E8">
            <w:pPr>
              <w:spacing w:after="0" w:line="276" w:lineRule="auto"/>
            </w:pPr>
            <w:r>
              <w:rPr>
                <w:rFonts w:ascii="微软雅黑" w:hAnsi="微软雅黑" w:eastAsia="微软雅黑"/>
                <w:color w:val="243041"/>
                <w:sz w:val="17"/>
              </w:rPr>
              <w:t>配置管理</w:t>
            </w:r>
          </w:p>
        </w:tc>
        <w:tc>
          <w:tcPr>
            <w:tcW w:w="4200" w:type="dxa"/>
            <w:tcMar>
              <w:top w:w="90" w:type="dxa"/>
              <w:left w:w="90" w:type="dxa"/>
              <w:bottom w:w="90" w:type="dxa"/>
              <w:right w:w="90" w:type="dxa"/>
            </w:tcMar>
            <w:vAlign w:val="center"/>
          </w:tcPr>
          <w:p w14:paraId="072A454A">
            <w:pPr>
              <w:spacing w:after="0" w:line="276" w:lineRule="auto"/>
            </w:pPr>
            <w:r>
              <w:rPr>
                <w:rFonts w:ascii="微软雅黑" w:hAnsi="微软雅黑" w:eastAsia="微软雅黑"/>
                <w:color w:val="243041"/>
                <w:sz w:val="17"/>
              </w:rPr>
              <w:t>GET /api/config/default；POST /api/config/validate；POST /api/config/update</w:t>
            </w:r>
          </w:p>
        </w:tc>
        <w:tc>
          <w:tcPr>
            <w:tcW w:w="3660" w:type="dxa"/>
            <w:tcMar>
              <w:top w:w="90" w:type="dxa"/>
              <w:left w:w="90" w:type="dxa"/>
              <w:bottom w:w="90" w:type="dxa"/>
              <w:right w:w="90" w:type="dxa"/>
            </w:tcMar>
            <w:vAlign w:val="center"/>
          </w:tcPr>
          <w:p w14:paraId="5E0C4B4E">
            <w:pPr>
              <w:spacing w:after="0" w:line="276" w:lineRule="auto"/>
            </w:pPr>
            <w:r>
              <w:rPr>
                <w:rFonts w:ascii="微软雅黑" w:hAnsi="微软雅黑" w:eastAsia="微软雅黑"/>
                <w:color w:val="243041"/>
                <w:sz w:val="17"/>
              </w:rPr>
              <w:t>读取默认配置、校验参数和更新场景</w:t>
            </w:r>
          </w:p>
        </w:tc>
      </w:tr>
      <w:tr w14:paraId="01DF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shd w:val="clear" w:color="auto" w:fill="F8FAFC"/>
            <w:tcMar>
              <w:top w:w="90" w:type="dxa"/>
              <w:left w:w="90" w:type="dxa"/>
              <w:bottom w:w="90" w:type="dxa"/>
              <w:right w:w="90" w:type="dxa"/>
            </w:tcMar>
            <w:vAlign w:val="center"/>
          </w:tcPr>
          <w:p w14:paraId="17A7A139">
            <w:pPr>
              <w:spacing w:after="0" w:line="276" w:lineRule="auto"/>
            </w:pPr>
            <w:r>
              <w:rPr>
                <w:rFonts w:ascii="微软雅黑" w:hAnsi="微软雅黑" w:eastAsia="微软雅黑"/>
                <w:color w:val="243041"/>
                <w:sz w:val="17"/>
              </w:rPr>
              <w:t>工艺流程</w:t>
            </w:r>
          </w:p>
        </w:tc>
        <w:tc>
          <w:tcPr>
            <w:tcW w:w="4200" w:type="dxa"/>
            <w:shd w:val="clear" w:color="auto" w:fill="F8FAFC"/>
            <w:tcMar>
              <w:top w:w="90" w:type="dxa"/>
              <w:left w:w="90" w:type="dxa"/>
              <w:bottom w:w="90" w:type="dxa"/>
              <w:right w:w="90" w:type="dxa"/>
            </w:tcMar>
            <w:vAlign w:val="center"/>
          </w:tcPr>
          <w:p w14:paraId="12E89A6E">
            <w:pPr>
              <w:spacing w:after="0" w:line="276" w:lineRule="auto"/>
            </w:pPr>
            <w:r>
              <w:rPr>
                <w:rFonts w:ascii="微软雅黑" w:hAnsi="微软雅黑" w:eastAsia="微软雅黑"/>
                <w:color w:val="243041"/>
                <w:sz w:val="17"/>
              </w:rPr>
              <w:t>POST /api/process/parse-csv；POST /api/process/validate；POST /api/process/export-csv</w:t>
            </w:r>
          </w:p>
        </w:tc>
        <w:tc>
          <w:tcPr>
            <w:tcW w:w="3660" w:type="dxa"/>
            <w:shd w:val="clear" w:color="auto" w:fill="F8FAFC"/>
            <w:tcMar>
              <w:top w:w="90" w:type="dxa"/>
              <w:left w:w="90" w:type="dxa"/>
              <w:bottom w:w="90" w:type="dxa"/>
              <w:right w:w="90" w:type="dxa"/>
            </w:tcMar>
            <w:vAlign w:val="center"/>
          </w:tcPr>
          <w:p w14:paraId="5A52418C">
            <w:pPr>
              <w:spacing w:after="0" w:line="276" w:lineRule="auto"/>
            </w:pPr>
            <w:r>
              <w:rPr>
                <w:rFonts w:ascii="微软雅黑" w:hAnsi="微软雅黑" w:eastAsia="微软雅黑"/>
                <w:color w:val="243041"/>
                <w:sz w:val="17"/>
              </w:rPr>
              <w:t>解析、校验、保存和导出流程</w:t>
            </w:r>
          </w:p>
        </w:tc>
      </w:tr>
      <w:tr w14:paraId="07A2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53D97777">
            <w:pPr>
              <w:spacing w:after="0" w:line="276" w:lineRule="auto"/>
            </w:pPr>
            <w:r>
              <w:rPr>
                <w:rFonts w:ascii="微软雅黑" w:hAnsi="微软雅黑" w:eastAsia="微软雅黑"/>
                <w:color w:val="243041"/>
                <w:sz w:val="17"/>
              </w:rPr>
              <w:t>仿真控制</w:t>
            </w:r>
          </w:p>
        </w:tc>
        <w:tc>
          <w:tcPr>
            <w:tcW w:w="4200" w:type="dxa"/>
            <w:tcMar>
              <w:top w:w="90" w:type="dxa"/>
              <w:left w:w="90" w:type="dxa"/>
              <w:bottom w:w="90" w:type="dxa"/>
              <w:right w:w="90" w:type="dxa"/>
            </w:tcMar>
            <w:vAlign w:val="center"/>
          </w:tcPr>
          <w:p w14:paraId="464BCA91">
            <w:pPr>
              <w:spacing w:after="0" w:line="276" w:lineRule="auto"/>
            </w:pPr>
            <w:r>
              <w:rPr>
                <w:rFonts w:ascii="微软雅黑" w:hAnsi="微软雅黑" w:eastAsia="微软雅黑"/>
                <w:color w:val="243041"/>
                <w:sz w:val="17"/>
              </w:rPr>
              <w:t>POST /api/simulation/run；GET /api/simulation/status/{sim_id}</w:t>
            </w:r>
          </w:p>
        </w:tc>
        <w:tc>
          <w:tcPr>
            <w:tcW w:w="3660" w:type="dxa"/>
            <w:tcMar>
              <w:top w:w="90" w:type="dxa"/>
              <w:left w:w="90" w:type="dxa"/>
              <w:bottom w:w="90" w:type="dxa"/>
              <w:right w:w="90" w:type="dxa"/>
            </w:tcMar>
            <w:vAlign w:val="center"/>
          </w:tcPr>
          <w:p w14:paraId="07FC746B">
            <w:pPr>
              <w:spacing w:after="0" w:line="276" w:lineRule="auto"/>
            </w:pPr>
            <w:r>
              <w:rPr>
                <w:rFonts w:ascii="微软雅黑" w:hAnsi="微软雅黑" w:eastAsia="微软雅黑"/>
                <w:color w:val="243041"/>
                <w:sz w:val="17"/>
              </w:rPr>
              <w:t>启动、查询、停止和管理仿真实例</w:t>
            </w:r>
          </w:p>
        </w:tc>
      </w:tr>
      <w:tr w14:paraId="1E80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shd w:val="clear" w:color="auto" w:fill="F8FAFC"/>
            <w:tcMar>
              <w:top w:w="90" w:type="dxa"/>
              <w:left w:w="90" w:type="dxa"/>
              <w:bottom w:w="90" w:type="dxa"/>
              <w:right w:w="90" w:type="dxa"/>
            </w:tcMar>
            <w:vAlign w:val="center"/>
          </w:tcPr>
          <w:p w14:paraId="2067B077">
            <w:pPr>
              <w:spacing w:after="0" w:line="276" w:lineRule="auto"/>
            </w:pPr>
            <w:r>
              <w:rPr>
                <w:rFonts w:ascii="微软雅黑" w:hAnsi="微软雅黑" w:eastAsia="微软雅黑"/>
                <w:color w:val="243041"/>
                <w:sz w:val="17"/>
              </w:rPr>
              <w:t>结果查询</w:t>
            </w:r>
          </w:p>
        </w:tc>
        <w:tc>
          <w:tcPr>
            <w:tcW w:w="4200" w:type="dxa"/>
            <w:shd w:val="clear" w:color="auto" w:fill="F8FAFC"/>
            <w:tcMar>
              <w:top w:w="90" w:type="dxa"/>
              <w:left w:w="90" w:type="dxa"/>
              <w:bottom w:w="90" w:type="dxa"/>
              <w:right w:w="90" w:type="dxa"/>
            </w:tcMar>
            <w:vAlign w:val="center"/>
          </w:tcPr>
          <w:p w14:paraId="6B7B5FFE">
            <w:pPr>
              <w:spacing w:after="0" w:line="276" w:lineRule="auto"/>
            </w:pPr>
            <w:r>
              <w:rPr>
                <w:rFonts w:ascii="微软雅黑" w:hAnsi="微软雅黑" w:eastAsia="微软雅黑"/>
                <w:color w:val="243041"/>
                <w:sz w:val="17"/>
              </w:rPr>
              <w:t>GET /api/results/{sim_id}；瓶颈、工人、设备和甘特图子接口</w:t>
            </w:r>
          </w:p>
        </w:tc>
        <w:tc>
          <w:tcPr>
            <w:tcW w:w="3660" w:type="dxa"/>
            <w:shd w:val="clear" w:color="auto" w:fill="F8FAFC"/>
            <w:tcMar>
              <w:top w:w="90" w:type="dxa"/>
              <w:left w:w="90" w:type="dxa"/>
              <w:bottom w:w="90" w:type="dxa"/>
              <w:right w:w="90" w:type="dxa"/>
            </w:tcMar>
            <w:vAlign w:val="center"/>
          </w:tcPr>
          <w:p w14:paraId="6F4002C8">
            <w:pPr>
              <w:spacing w:after="0" w:line="276" w:lineRule="auto"/>
            </w:pPr>
            <w:r>
              <w:rPr>
                <w:rFonts w:ascii="微软雅黑" w:hAnsi="微软雅黑" w:eastAsia="微软雅黑"/>
                <w:color w:val="243041"/>
                <w:sz w:val="17"/>
              </w:rPr>
              <w:t>按需获取统计和图表数据</w:t>
            </w:r>
          </w:p>
        </w:tc>
      </w:tr>
      <w:tr w14:paraId="3BF4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Mar>
              <w:top w:w="90" w:type="dxa"/>
              <w:left w:w="90" w:type="dxa"/>
              <w:bottom w:w="90" w:type="dxa"/>
              <w:right w:w="90" w:type="dxa"/>
            </w:tcMar>
            <w:vAlign w:val="center"/>
          </w:tcPr>
          <w:p w14:paraId="66D2030B">
            <w:pPr>
              <w:spacing w:after="0" w:line="276" w:lineRule="auto"/>
            </w:pPr>
            <w:r>
              <w:rPr>
                <w:rFonts w:ascii="微软雅黑" w:hAnsi="微软雅黑" w:eastAsia="微软雅黑"/>
                <w:color w:val="243041"/>
                <w:sz w:val="17"/>
              </w:rPr>
              <w:t>结果导出</w:t>
            </w:r>
          </w:p>
        </w:tc>
        <w:tc>
          <w:tcPr>
            <w:tcW w:w="4200" w:type="dxa"/>
            <w:tcMar>
              <w:top w:w="90" w:type="dxa"/>
              <w:left w:w="90" w:type="dxa"/>
              <w:bottom w:w="90" w:type="dxa"/>
              <w:right w:w="90" w:type="dxa"/>
            </w:tcMar>
            <w:vAlign w:val="center"/>
          </w:tcPr>
          <w:p w14:paraId="316A245B">
            <w:pPr>
              <w:spacing w:after="0" w:line="276" w:lineRule="auto"/>
            </w:pPr>
            <w:r>
              <w:rPr>
                <w:rFonts w:ascii="微软雅黑" w:hAnsi="微软雅黑" w:eastAsia="微软雅黑"/>
                <w:color w:val="243041"/>
                <w:sz w:val="17"/>
              </w:rPr>
              <w:t>POST /api/results/export/gantt；POST /api/results/export/report</w:t>
            </w:r>
          </w:p>
        </w:tc>
        <w:tc>
          <w:tcPr>
            <w:tcW w:w="3660" w:type="dxa"/>
            <w:tcMar>
              <w:top w:w="90" w:type="dxa"/>
              <w:left w:w="90" w:type="dxa"/>
              <w:bottom w:w="90" w:type="dxa"/>
              <w:right w:w="90" w:type="dxa"/>
            </w:tcMar>
            <w:vAlign w:val="center"/>
          </w:tcPr>
          <w:p w14:paraId="105FE01F">
            <w:pPr>
              <w:spacing w:after="0" w:line="276" w:lineRule="auto"/>
            </w:pPr>
            <w:r>
              <w:rPr>
                <w:rFonts w:ascii="微软雅黑" w:hAnsi="微软雅黑" w:eastAsia="微软雅黑"/>
                <w:color w:val="243041"/>
                <w:sz w:val="17"/>
              </w:rPr>
              <w:t>导出甘特图 CSV 和完整 JSON 报告</w:t>
            </w:r>
          </w:p>
        </w:tc>
      </w:tr>
    </w:tbl>
    <w:p w14:paraId="738BE182">
      <w:pPr>
        <w:spacing w:after="0"/>
      </w:pPr>
    </w:p>
    <w:p w14:paraId="6FDCD71B">
      <w:pPr>
        <w:spacing w:before="40" w:after="40"/>
        <w:jc w:val="center"/>
      </w:pPr>
      <w:r>
        <w:drawing>
          <wp:inline distT="0" distB="0" distL="114300" distR="114300">
            <wp:extent cx="5897880" cy="3319145"/>
            <wp:effectExtent l="0" t="0" r="7620" b="8255"/>
            <wp:docPr id="12" name="Picture 12" descr="图 10-1  FastAPI 自动接口文档：配置管理和工艺流程接口" title="图 10-1  FastAPI 自动接口文档：配置管理和工艺流程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 10-1  FastAPI 自动接口文档：配置管理和工艺流程接口" title="图 10-1  FastAPI 自动接口文档：配置管理和工艺流程接口"/>
                    <pic:cNvPicPr>
                      <a:picLocks noChangeAspect="1"/>
                    </pic:cNvPicPr>
                  </pic:nvPicPr>
                  <pic:blipFill>
                    <a:blip r:embed="rId21"/>
                    <a:stretch>
                      <a:fillRect/>
                    </a:stretch>
                  </pic:blipFill>
                  <pic:spPr>
                    <a:xfrm>
                      <a:off x="0" y="0"/>
                      <a:ext cx="5897880" cy="3319597"/>
                    </a:xfrm>
                    <a:prstGeom prst="rect">
                      <a:avLst/>
                    </a:prstGeom>
                  </pic:spPr>
                </pic:pic>
              </a:graphicData>
            </a:graphic>
          </wp:inline>
        </w:drawing>
      </w:r>
    </w:p>
    <w:p w14:paraId="06E7D417">
      <w:pPr>
        <w:keepLines/>
        <w:spacing w:after="140"/>
        <w:jc w:val="center"/>
      </w:pPr>
      <w:r>
        <w:rPr>
          <w:rFonts w:ascii="微软雅黑" w:hAnsi="微软雅黑" w:eastAsia="微软雅黑"/>
          <w:color w:val="5B6675"/>
          <w:sz w:val="18"/>
        </w:rPr>
        <w:t>图 10-1  FastAPI 自动接口文档：配置管理和工艺流程接口</w:t>
      </w:r>
    </w:p>
    <w:p w14:paraId="151C7A86">
      <w:pPr>
        <w:pStyle w:val="3"/>
        <w:keepNext/>
        <w:keepLines/>
      </w:pPr>
      <w:bookmarkStart w:id="52" w:name="_Toc25879"/>
      <w:r>
        <w:t>11 系统架构与技术特点</w:t>
      </w:r>
      <w:bookmarkEnd w:id="52"/>
    </w:p>
    <w:p w14:paraId="46CE73E5">
      <w:pPr>
        <w:pStyle w:val="4"/>
        <w:keepNext/>
        <w:keepLines/>
      </w:pPr>
      <w:bookmarkStart w:id="53" w:name="_Toc11824"/>
      <w:r>
        <w:t>11.1 B/S 分层架构</w:t>
      </w:r>
      <w:bookmarkEnd w:id="5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1E74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17324D"/>
            <w:tcMar>
              <w:top w:w="90" w:type="dxa"/>
              <w:left w:w="90" w:type="dxa"/>
              <w:bottom w:w="90" w:type="dxa"/>
              <w:right w:w="90" w:type="dxa"/>
            </w:tcMar>
            <w:vAlign w:val="center"/>
          </w:tcPr>
          <w:p w14:paraId="316703D4">
            <w:pPr>
              <w:spacing w:after="0"/>
              <w:jc w:val="center"/>
            </w:pPr>
            <w:r>
              <w:rPr>
                <w:rFonts w:ascii="微软雅黑" w:hAnsi="微软雅黑" w:eastAsia="微软雅黑"/>
                <w:b/>
                <w:color w:val="FFFFFF"/>
                <w:sz w:val="18"/>
              </w:rPr>
              <w:t>层次</w:t>
            </w:r>
          </w:p>
        </w:tc>
        <w:tc>
          <w:tcPr>
            <w:tcW w:w="3000" w:type="dxa"/>
            <w:shd w:val="clear" w:color="auto" w:fill="17324D"/>
            <w:tcMar>
              <w:top w:w="90" w:type="dxa"/>
              <w:left w:w="90" w:type="dxa"/>
              <w:bottom w:w="90" w:type="dxa"/>
              <w:right w:w="90" w:type="dxa"/>
            </w:tcMar>
            <w:vAlign w:val="center"/>
          </w:tcPr>
          <w:p w14:paraId="77BE1C24">
            <w:pPr>
              <w:spacing w:after="0"/>
              <w:jc w:val="center"/>
            </w:pPr>
            <w:r>
              <w:rPr>
                <w:rFonts w:ascii="微软雅黑" w:hAnsi="微软雅黑" w:eastAsia="微软雅黑"/>
                <w:b/>
                <w:color w:val="FFFFFF"/>
                <w:sz w:val="18"/>
              </w:rPr>
              <w:t>主要技术</w:t>
            </w:r>
          </w:p>
        </w:tc>
        <w:tc>
          <w:tcPr>
            <w:tcW w:w="4660" w:type="dxa"/>
            <w:shd w:val="clear" w:color="auto" w:fill="17324D"/>
            <w:tcMar>
              <w:top w:w="90" w:type="dxa"/>
              <w:left w:w="90" w:type="dxa"/>
              <w:bottom w:w="90" w:type="dxa"/>
              <w:right w:w="90" w:type="dxa"/>
            </w:tcMar>
            <w:vAlign w:val="center"/>
          </w:tcPr>
          <w:p w14:paraId="6AC3E1C3">
            <w:pPr>
              <w:spacing w:after="0"/>
              <w:jc w:val="center"/>
            </w:pPr>
            <w:r>
              <w:rPr>
                <w:rFonts w:ascii="微软雅黑" w:hAnsi="微软雅黑" w:eastAsia="微软雅黑"/>
                <w:b/>
                <w:color w:val="FFFFFF"/>
                <w:sz w:val="18"/>
              </w:rPr>
              <w:t>职责</w:t>
            </w:r>
          </w:p>
        </w:tc>
      </w:tr>
      <w:tr w14:paraId="0F03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90" w:type="dxa"/>
              <w:bottom w:w="90" w:type="dxa"/>
              <w:right w:w="90" w:type="dxa"/>
            </w:tcMar>
            <w:vAlign w:val="center"/>
          </w:tcPr>
          <w:p w14:paraId="49FAEE4C">
            <w:pPr>
              <w:spacing w:after="0" w:line="276" w:lineRule="auto"/>
            </w:pPr>
            <w:r>
              <w:rPr>
                <w:rFonts w:ascii="微软雅黑" w:hAnsi="微软雅黑" w:eastAsia="微软雅黑"/>
                <w:color w:val="243041"/>
                <w:sz w:val="18"/>
              </w:rPr>
              <w:t>浏览器表现层</w:t>
            </w:r>
          </w:p>
        </w:tc>
        <w:tc>
          <w:tcPr>
            <w:tcW w:w="3000" w:type="dxa"/>
            <w:tcMar>
              <w:top w:w="90" w:type="dxa"/>
              <w:left w:w="90" w:type="dxa"/>
              <w:bottom w:w="90" w:type="dxa"/>
              <w:right w:w="90" w:type="dxa"/>
            </w:tcMar>
            <w:vAlign w:val="center"/>
          </w:tcPr>
          <w:p w14:paraId="7A7818E0">
            <w:pPr>
              <w:spacing w:after="0" w:line="276" w:lineRule="auto"/>
            </w:pPr>
            <w:r>
              <w:rPr>
                <w:rFonts w:ascii="微软雅黑" w:hAnsi="微软雅黑" w:eastAsia="微软雅黑"/>
                <w:color w:val="243041"/>
                <w:sz w:val="18"/>
              </w:rPr>
              <w:t>HTML5、CSS3、原生 JavaScript、Canvas、Chart.js</w:t>
            </w:r>
          </w:p>
        </w:tc>
        <w:tc>
          <w:tcPr>
            <w:tcW w:w="4660" w:type="dxa"/>
            <w:tcMar>
              <w:top w:w="90" w:type="dxa"/>
              <w:left w:w="90" w:type="dxa"/>
              <w:bottom w:w="90" w:type="dxa"/>
              <w:right w:w="90" w:type="dxa"/>
            </w:tcMar>
            <w:vAlign w:val="center"/>
          </w:tcPr>
          <w:p w14:paraId="74FA0E95">
            <w:pPr>
              <w:spacing w:after="0" w:line="276" w:lineRule="auto"/>
            </w:pPr>
            <w:r>
              <w:rPr>
                <w:rFonts w:ascii="微软雅黑" w:hAnsi="微软雅黑" w:eastAsia="微软雅黑"/>
                <w:color w:val="243041"/>
                <w:sz w:val="18"/>
              </w:rPr>
              <w:t>流程编辑、参数录入、状态管理、图表和甘特图渲染</w:t>
            </w:r>
          </w:p>
        </w:tc>
      </w:tr>
      <w:tr w14:paraId="2CD2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shd w:val="clear" w:color="auto" w:fill="F8FAFC"/>
            <w:tcMar>
              <w:top w:w="90" w:type="dxa"/>
              <w:left w:w="90" w:type="dxa"/>
              <w:bottom w:w="90" w:type="dxa"/>
              <w:right w:w="90" w:type="dxa"/>
            </w:tcMar>
            <w:vAlign w:val="center"/>
          </w:tcPr>
          <w:p w14:paraId="29A21A97">
            <w:pPr>
              <w:spacing w:after="0" w:line="276" w:lineRule="auto"/>
            </w:pPr>
            <w:r>
              <w:rPr>
                <w:rFonts w:ascii="微软雅黑" w:hAnsi="微软雅黑" w:eastAsia="微软雅黑"/>
                <w:color w:val="243041"/>
                <w:sz w:val="18"/>
              </w:rPr>
              <w:t>Web 接口层</w:t>
            </w:r>
          </w:p>
        </w:tc>
        <w:tc>
          <w:tcPr>
            <w:tcW w:w="3000" w:type="dxa"/>
            <w:shd w:val="clear" w:color="auto" w:fill="F8FAFC"/>
            <w:tcMar>
              <w:top w:w="90" w:type="dxa"/>
              <w:left w:w="90" w:type="dxa"/>
              <w:bottom w:w="90" w:type="dxa"/>
              <w:right w:w="90" w:type="dxa"/>
            </w:tcMar>
            <w:vAlign w:val="center"/>
          </w:tcPr>
          <w:p w14:paraId="4901D245">
            <w:pPr>
              <w:spacing w:after="0" w:line="276" w:lineRule="auto"/>
            </w:pPr>
            <w:r>
              <w:rPr>
                <w:rFonts w:ascii="微软雅黑" w:hAnsi="微软雅黑" w:eastAsia="微软雅黑"/>
                <w:color w:val="243041"/>
                <w:sz w:val="18"/>
              </w:rPr>
              <w:t>FastAPI、Pydantic、REST、异步函数</w:t>
            </w:r>
          </w:p>
        </w:tc>
        <w:tc>
          <w:tcPr>
            <w:tcW w:w="4660" w:type="dxa"/>
            <w:shd w:val="clear" w:color="auto" w:fill="F8FAFC"/>
            <w:tcMar>
              <w:top w:w="90" w:type="dxa"/>
              <w:left w:w="90" w:type="dxa"/>
              <w:bottom w:w="90" w:type="dxa"/>
              <w:right w:w="90" w:type="dxa"/>
            </w:tcMar>
            <w:vAlign w:val="center"/>
          </w:tcPr>
          <w:p w14:paraId="6C414A65">
            <w:pPr>
              <w:spacing w:after="0" w:line="276" w:lineRule="auto"/>
            </w:pPr>
            <w:r>
              <w:rPr>
                <w:rFonts w:ascii="微软雅黑" w:hAnsi="微软雅黑" w:eastAsia="微软雅黑"/>
                <w:color w:val="243041"/>
                <w:sz w:val="18"/>
              </w:rPr>
              <w:t>请求路由、参数校验、仿真控制、结果查询和文件导出</w:t>
            </w:r>
          </w:p>
        </w:tc>
      </w:tr>
      <w:tr w14:paraId="2EAE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90" w:type="dxa"/>
              <w:bottom w:w="90" w:type="dxa"/>
              <w:right w:w="90" w:type="dxa"/>
            </w:tcMar>
            <w:vAlign w:val="center"/>
          </w:tcPr>
          <w:p w14:paraId="2D94F63E">
            <w:pPr>
              <w:spacing w:after="0" w:line="276" w:lineRule="auto"/>
            </w:pPr>
            <w:r>
              <w:rPr>
                <w:rFonts w:ascii="微软雅黑" w:hAnsi="微软雅黑" w:eastAsia="微软雅黑"/>
                <w:color w:val="243041"/>
                <w:sz w:val="18"/>
              </w:rPr>
              <w:t>仿真调度层</w:t>
            </w:r>
          </w:p>
        </w:tc>
        <w:tc>
          <w:tcPr>
            <w:tcW w:w="3000" w:type="dxa"/>
            <w:tcMar>
              <w:top w:w="90" w:type="dxa"/>
              <w:left w:w="90" w:type="dxa"/>
              <w:bottom w:w="90" w:type="dxa"/>
              <w:right w:w="90" w:type="dxa"/>
            </w:tcMar>
            <w:vAlign w:val="center"/>
          </w:tcPr>
          <w:p w14:paraId="11303155">
            <w:pPr>
              <w:spacing w:after="0" w:line="276" w:lineRule="auto"/>
            </w:pPr>
            <w:r>
              <w:rPr>
                <w:rFonts w:ascii="微软雅黑" w:hAnsi="微软雅黑" w:eastAsia="微软雅黑"/>
                <w:color w:val="243041"/>
                <w:sz w:val="18"/>
              </w:rPr>
              <w:t>SimPy、NetworkX、DAG、PriorityResource</w:t>
            </w:r>
          </w:p>
        </w:tc>
        <w:tc>
          <w:tcPr>
            <w:tcW w:w="4660" w:type="dxa"/>
            <w:tcMar>
              <w:top w:w="90" w:type="dxa"/>
              <w:left w:w="90" w:type="dxa"/>
              <w:bottom w:w="90" w:type="dxa"/>
              <w:right w:w="90" w:type="dxa"/>
            </w:tcMar>
            <w:vAlign w:val="center"/>
          </w:tcPr>
          <w:p w14:paraId="3B0D7238">
            <w:pPr>
              <w:spacing w:after="0" w:line="276" w:lineRule="auto"/>
            </w:pPr>
            <w:r>
              <w:rPr>
                <w:rFonts w:ascii="微软雅黑" w:hAnsi="微软雅黑" w:eastAsia="微软雅黑"/>
                <w:color w:val="243041"/>
                <w:sz w:val="18"/>
              </w:rPr>
              <w:t>事件推进、拓扑调度、资源争用、返工、休息和流水线控制</w:t>
            </w:r>
          </w:p>
        </w:tc>
      </w:tr>
      <w:tr w14:paraId="492D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shd w:val="clear" w:color="auto" w:fill="F8FAFC"/>
            <w:tcMar>
              <w:top w:w="90" w:type="dxa"/>
              <w:left w:w="90" w:type="dxa"/>
              <w:bottom w:w="90" w:type="dxa"/>
              <w:right w:w="90" w:type="dxa"/>
            </w:tcMar>
            <w:vAlign w:val="center"/>
          </w:tcPr>
          <w:p w14:paraId="0046DC34">
            <w:pPr>
              <w:spacing w:after="0" w:line="276" w:lineRule="auto"/>
            </w:pPr>
            <w:r>
              <w:rPr>
                <w:rFonts w:ascii="微软雅黑" w:hAnsi="微软雅黑" w:eastAsia="微软雅黑"/>
                <w:color w:val="243041"/>
                <w:sz w:val="18"/>
              </w:rPr>
              <w:t>模型与统计层</w:t>
            </w:r>
          </w:p>
        </w:tc>
        <w:tc>
          <w:tcPr>
            <w:tcW w:w="3000" w:type="dxa"/>
            <w:shd w:val="clear" w:color="auto" w:fill="F8FAFC"/>
            <w:tcMar>
              <w:top w:w="90" w:type="dxa"/>
              <w:left w:w="90" w:type="dxa"/>
              <w:bottom w:w="90" w:type="dxa"/>
              <w:right w:w="90" w:type="dxa"/>
            </w:tcMar>
            <w:vAlign w:val="center"/>
          </w:tcPr>
          <w:p w14:paraId="55EA1787">
            <w:pPr>
              <w:spacing w:after="0" w:line="276" w:lineRule="auto"/>
            </w:pPr>
            <w:r>
              <w:rPr>
                <w:rFonts w:ascii="微软雅黑" w:hAnsi="微软雅黑" w:eastAsia="微软雅黑"/>
                <w:color w:val="243041"/>
                <w:sz w:val="18"/>
              </w:rPr>
              <w:t>Pydantic 数据模型、事件收集、统计分析</w:t>
            </w:r>
          </w:p>
        </w:tc>
        <w:tc>
          <w:tcPr>
            <w:tcW w:w="4660" w:type="dxa"/>
            <w:shd w:val="clear" w:color="auto" w:fill="F8FAFC"/>
            <w:tcMar>
              <w:top w:w="90" w:type="dxa"/>
              <w:left w:w="90" w:type="dxa"/>
              <w:bottom w:w="90" w:type="dxa"/>
              <w:right w:w="90" w:type="dxa"/>
            </w:tcMar>
            <w:vAlign w:val="center"/>
          </w:tcPr>
          <w:p w14:paraId="15EDDD31">
            <w:pPr>
              <w:spacing w:after="0" w:line="276" w:lineRule="auto"/>
            </w:pPr>
            <w:r>
              <w:rPr>
                <w:rFonts w:ascii="微软雅黑" w:hAnsi="微软雅黑" w:eastAsia="微软雅黑"/>
                <w:color w:val="243041"/>
                <w:sz w:val="18"/>
              </w:rPr>
              <w:t>统一输入输出模型，计算 KPI、利用率、瓶颈和工位流转</w:t>
            </w:r>
          </w:p>
        </w:tc>
      </w:tr>
      <w:tr w14:paraId="41B4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90" w:type="dxa"/>
              <w:bottom w:w="90" w:type="dxa"/>
              <w:right w:w="90" w:type="dxa"/>
            </w:tcMar>
            <w:vAlign w:val="center"/>
          </w:tcPr>
          <w:p w14:paraId="0AB3248E">
            <w:pPr>
              <w:spacing w:after="0" w:line="276" w:lineRule="auto"/>
            </w:pPr>
            <w:r>
              <w:rPr>
                <w:rFonts w:ascii="微软雅黑" w:hAnsi="微软雅黑" w:eastAsia="微软雅黑"/>
                <w:color w:val="243041"/>
                <w:sz w:val="18"/>
              </w:rPr>
              <w:t>数据交换层</w:t>
            </w:r>
          </w:p>
        </w:tc>
        <w:tc>
          <w:tcPr>
            <w:tcW w:w="3000" w:type="dxa"/>
            <w:tcMar>
              <w:top w:w="90" w:type="dxa"/>
              <w:left w:w="90" w:type="dxa"/>
              <w:bottom w:w="90" w:type="dxa"/>
              <w:right w:w="90" w:type="dxa"/>
            </w:tcMar>
            <w:vAlign w:val="center"/>
          </w:tcPr>
          <w:p w14:paraId="598A5F2C">
            <w:pPr>
              <w:spacing w:after="0" w:line="276" w:lineRule="auto"/>
            </w:pPr>
            <w:r>
              <w:rPr>
                <w:rFonts w:ascii="微软雅黑" w:hAnsi="微软雅黑" w:eastAsia="微软雅黑"/>
                <w:color w:val="243041"/>
                <w:sz w:val="18"/>
              </w:rPr>
              <w:t>JSON、CSV、内存结果存储</w:t>
            </w:r>
          </w:p>
        </w:tc>
        <w:tc>
          <w:tcPr>
            <w:tcW w:w="4660" w:type="dxa"/>
            <w:tcMar>
              <w:top w:w="90" w:type="dxa"/>
              <w:left w:w="90" w:type="dxa"/>
              <w:bottom w:w="90" w:type="dxa"/>
              <w:right w:w="90" w:type="dxa"/>
            </w:tcMar>
            <w:vAlign w:val="center"/>
          </w:tcPr>
          <w:p w14:paraId="623E7030">
            <w:pPr>
              <w:spacing w:after="0" w:line="276" w:lineRule="auto"/>
            </w:pPr>
            <w:r>
              <w:rPr>
                <w:rFonts w:ascii="微软雅黑" w:hAnsi="微软雅黑" w:eastAsia="微软雅黑"/>
                <w:color w:val="243041"/>
                <w:sz w:val="18"/>
              </w:rPr>
              <w:t>工艺导入导出、接口传输和完整报告序列化</w:t>
            </w:r>
          </w:p>
        </w:tc>
      </w:tr>
    </w:tbl>
    <w:p w14:paraId="0112A392">
      <w:pPr>
        <w:spacing w:after="0"/>
      </w:pPr>
    </w:p>
    <w:p w14:paraId="0AEADB94">
      <w:pPr>
        <w:pStyle w:val="4"/>
        <w:keepNext/>
        <w:keepLines/>
      </w:pPr>
      <w:bookmarkStart w:id="54" w:name="_Toc31474"/>
      <w:r>
        <w:t>11.2 主要技术特点</w:t>
      </w:r>
      <w:bookmarkEnd w:id="54"/>
    </w:p>
    <w:p w14:paraId="5C2D76EB">
      <w:pPr>
        <w:pStyle w:val="16"/>
        <w:spacing w:after="40" w:line="288" w:lineRule="auto"/>
        <w:ind w:left="312" w:hanging="142"/>
      </w:pPr>
      <w:r>
        <w:rPr>
          <w:rFonts w:ascii="微软雅黑" w:hAnsi="微软雅黑" w:eastAsia="微软雅黑"/>
          <w:sz w:val="21"/>
        </w:rPr>
        <w:t>基于原生 JavaScript 和 FastAPI 构建 B/S 架构，无需安装专用客户端，支持跨平台浏览器访问。</w:t>
      </w:r>
    </w:p>
    <w:p w14:paraId="193103DD">
      <w:pPr>
        <w:pStyle w:val="16"/>
        <w:spacing w:after="40" w:line="288" w:lineRule="auto"/>
        <w:ind w:left="312" w:hanging="142"/>
      </w:pPr>
      <w:r>
        <w:rPr>
          <w:rFonts w:ascii="微软雅黑" w:hAnsi="微软雅黑" w:eastAsia="微软雅黑"/>
          <w:sz w:val="21"/>
        </w:rPr>
        <w:t>采用 HTML5 Canvas 作为交互式工艺画布，支持复杂节点网络、缩放平移、自动布局和工位聚合显示。</w:t>
      </w:r>
    </w:p>
    <w:p w14:paraId="0CBD4AEF">
      <w:pPr>
        <w:pStyle w:val="16"/>
        <w:spacing w:after="40" w:line="288" w:lineRule="auto"/>
        <w:ind w:left="312" w:hanging="142"/>
      </w:pPr>
      <w:r>
        <w:rPr>
          <w:rFonts w:ascii="微软雅黑" w:hAnsi="微软雅黑" w:eastAsia="微软雅黑"/>
          <w:sz w:val="21"/>
        </w:rPr>
        <w:t>引入 SimPy 离散事件仿真技术，用事件跳转代替固定时间步长，提高长周期装配场景的计算效率。</w:t>
      </w:r>
    </w:p>
    <w:p w14:paraId="0DCB4ECF">
      <w:pPr>
        <w:pStyle w:val="16"/>
        <w:spacing w:after="40" w:line="288" w:lineRule="auto"/>
        <w:ind w:left="312" w:hanging="142"/>
      </w:pPr>
      <w:r>
        <w:rPr>
          <w:rFonts w:ascii="微软雅黑" w:hAnsi="微软雅黑" w:eastAsia="微软雅黑"/>
          <w:sz w:val="21"/>
        </w:rPr>
        <w:t>采用 NetworkX/DAG 拓扑图调度和动态就绪检测，保证多分支、多汇聚工艺依赖的正确执行。</w:t>
      </w:r>
    </w:p>
    <w:p w14:paraId="33E6DF45">
      <w:pPr>
        <w:pStyle w:val="16"/>
        <w:spacing w:after="40" w:line="288" w:lineRule="auto"/>
        <w:ind w:left="312" w:hanging="142"/>
      </w:pPr>
      <w:r>
        <w:rPr>
          <w:rFonts w:ascii="微软雅黑" w:hAnsi="微软雅黑" w:eastAsia="微软雅黑"/>
          <w:sz w:val="21"/>
        </w:rPr>
        <w:t>使用工人池、优先级设备资源和工位资源联合求解资源受限项目调度问题。</w:t>
      </w:r>
    </w:p>
    <w:p w14:paraId="1AB3298C">
      <w:pPr>
        <w:pStyle w:val="16"/>
        <w:spacing w:after="40" w:line="288" w:lineRule="auto"/>
        <w:ind w:left="312" w:hanging="142"/>
      </w:pPr>
      <w:r>
        <w:rPr>
          <w:rFonts w:ascii="微软雅黑" w:hAnsi="微软雅黑" w:eastAsia="微软雅黑"/>
          <w:sz w:val="21"/>
        </w:rPr>
        <w:t>集成 REBA 人因负荷、连续工作阈值、微休息和疲劳恢复模型，使排产结果反映可持续作业约束。</w:t>
      </w:r>
    </w:p>
    <w:p w14:paraId="7297CECA">
      <w:pPr>
        <w:pStyle w:val="16"/>
        <w:spacing w:after="40" w:line="288" w:lineRule="auto"/>
        <w:ind w:left="312" w:hanging="142"/>
      </w:pPr>
      <w:r>
        <w:rPr>
          <w:rFonts w:ascii="微软雅黑" w:hAnsi="微软雅黑" w:eastAsia="微软雅黑"/>
          <w:sz w:val="21"/>
        </w:rPr>
        <w:t>通过 FastAPI 异步接口完成仿真请求和结果分发，支持 CSV/JSON 结构化数据交换。</w:t>
      </w:r>
    </w:p>
    <w:p w14:paraId="314662F0">
      <w:pPr>
        <w:pStyle w:val="4"/>
        <w:keepNext/>
        <w:keepLines/>
      </w:pPr>
      <w:bookmarkStart w:id="55" w:name="_Toc2874"/>
      <w:r>
        <w:t>11.3 前端源程序对应关系</w:t>
      </w:r>
      <w:bookmarkEnd w:id="5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81"/>
      </w:tblGrid>
      <w:tr w14:paraId="4765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00" w:type="dxa"/>
            <w:shd w:val="clear" w:color="auto" w:fill="17324D"/>
            <w:tcMar>
              <w:top w:w="90" w:type="dxa"/>
              <w:left w:w="90" w:type="dxa"/>
              <w:bottom w:w="90" w:type="dxa"/>
              <w:right w:w="90" w:type="dxa"/>
            </w:tcMar>
            <w:vAlign w:val="center"/>
          </w:tcPr>
          <w:p w14:paraId="2ED7879F">
            <w:pPr>
              <w:spacing w:after="0"/>
              <w:jc w:val="center"/>
            </w:pPr>
            <w:r>
              <w:rPr>
                <w:rFonts w:ascii="微软雅黑" w:hAnsi="微软雅黑" w:eastAsia="微软雅黑"/>
                <w:b/>
                <w:color w:val="FFFFFF"/>
                <w:sz w:val="17"/>
              </w:rPr>
              <w:t>源程序文件</w:t>
            </w:r>
          </w:p>
        </w:tc>
        <w:tc>
          <w:tcPr>
            <w:tcW w:w="6060" w:type="dxa"/>
            <w:shd w:val="clear" w:color="auto" w:fill="17324D"/>
            <w:tcMar>
              <w:top w:w="90" w:type="dxa"/>
              <w:left w:w="90" w:type="dxa"/>
              <w:bottom w:w="90" w:type="dxa"/>
              <w:right w:w="90" w:type="dxa"/>
            </w:tcMar>
            <w:vAlign w:val="center"/>
          </w:tcPr>
          <w:p w14:paraId="07718D6B">
            <w:pPr>
              <w:spacing w:after="0"/>
              <w:jc w:val="center"/>
            </w:pPr>
            <w:r>
              <w:rPr>
                <w:rFonts w:ascii="微软雅黑" w:hAnsi="微软雅黑" w:eastAsia="微软雅黑"/>
                <w:b/>
                <w:color w:val="FFFFFF"/>
                <w:sz w:val="17"/>
              </w:rPr>
              <w:t>对应功能</w:t>
            </w:r>
          </w:p>
        </w:tc>
      </w:tr>
      <w:tr w14:paraId="0A4A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4FFA5A42">
            <w:pPr>
              <w:spacing w:after="0" w:line="276" w:lineRule="auto"/>
            </w:pPr>
            <w:r>
              <w:rPr>
                <w:rFonts w:ascii="微软雅黑" w:hAnsi="微软雅黑" w:eastAsia="微软雅黑"/>
                <w:color w:val="243041"/>
                <w:sz w:val="17"/>
              </w:rPr>
              <w:t>frontend/index.html</w:t>
            </w:r>
          </w:p>
        </w:tc>
        <w:tc>
          <w:tcPr>
            <w:tcW w:w="6060" w:type="dxa"/>
            <w:tcMar>
              <w:top w:w="90" w:type="dxa"/>
              <w:left w:w="90" w:type="dxa"/>
              <w:bottom w:w="90" w:type="dxa"/>
              <w:right w:w="90" w:type="dxa"/>
            </w:tcMar>
            <w:vAlign w:val="center"/>
          </w:tcPr>
          <w:p w14:paraId="59EEB049">
            <w:pPr>
              <w:spacing w:after="0" w:line="276" w:lineRule="auto"/>
            </w:pPr>
            <w:r>
              <w:rPr>
                <w:rFonts w:ascii="微软雅黑" w:hAnsi="微软雅黑" w:eastAsia="微软雅黑"/>
                <w:color w:val="243041"/>
                <w:sz w:val="17"/>
              </w:rPr>
              <w:t>单页界面结构、导航、参数表单、节点编辑弹窗和报表容器</w:t>
            </w:r>
          </w:p>
        </w:tc>
      </w:tr>
      <w:tr w14:paraId="254D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6B6F5EB5">
            <w:pPr>
              <w:spacing w:after="0" w:line="276" w:lineRule="auto"/>
            </w:pPr>
            <w:r>
              <w:rPr>
                <w:rFonts w:ascii="微软雅黑" w:hAnsi="微软雅黑" w:eastAsia="微软雅黑"/>
                <w:color w:val="243041"/>
                <w:sz w:val="17"/>
              </w:rPr>
              <w:t>frontend/js/canvas.js</w:t>
            </w:r>
          </w:p>
        </w:tc>
        <w:tc>
          <w:tcPr>
            <w:tcW w:w="6060" w:type="dxa"/>
            <w:shd w:val="clear" w:color="auto" w:fill="F8FAFC"/>
            <w:tcMar>
              <w:top w:w="90" w:type="dxa"/>
              <w:left w:w="90" w:type="dxa"/>
              <w:bottom w:w="90" w:type="dxa"/>
              <w:right w:w="90" w:type="dxa"/>
            </w:tcMar>
            <w:vAlign w:val="center"/>
          </w:tcPr>
          <w:p w14:paraId="24A5962F">
            <w:pPr>
              <w:spacing w:after="0" w:line="276" w:lineRule="auto"/>
            </w:pPr>
            <w:r>
              <w:rPr>
                <w:rFonts w:ascii="微软雅黑" w:hAnsi="微软雅黑" w:eastAsia="微软雅黑"/>
                <w:color w:val="243041"/>
                <w:sz w:val="17"/>
              </w:rPr>
              <w:t>Canvas 网格、节点、连线、缩放、平移和交互渲染</w:t>
            </w:r>
          </w:p>
        </w:tc>
      </w:tr>
      <w:tr w14:paraId="5647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6FA11661">
            <w:pPr>
              <w:spacing w:after="0" w:line="276" w:lineRule="auto"/>
            </w:pPr>
            <w:r>
              <w:rPr>
                <w:rFonts w:ascii="微软雅黑" w:hAnsi="微软雅黑" w:eastAsia="微软雅黑"/>
                <w:color w:val="243041"/>
                <w:sz w:val="17"/>
              </w:rPr>
              <w:t>frontend/js/editor.js</w:t>
            </w:r>
          </w:p>
        </w:tc>
        <w:tc>
          <w:tcPr>
            <w:tcW w:w="6060" w:type="dxa"/>
            <w:tcMar>
              <w:top w:w="90" w:type="dxa"/>
              <w:left w:w="90" w:type="dxa"/>
              <w:bottom w:w="90" w:type="dxa"/>
              <w:right w:w="90" w:type="dxa"/>
            </w:tcMar>
            <w:vAlign w:val="center"/>
          </w:tcPr>
          <w:p w14:paraId="78E2FA79">
            <w:pPr>
              <w:spacing w:after="0" w:line="276" w:lineRule="auto"/>
            </w:pPr>
            <w:r>
              <w:rPr>
                <w:rFonts w:ascii="微软雅黑" w:hAnsi="微软雅黑" w:eastAsia="微软雅黑"/>
                <w:color w:val="243041"/>
                <w:sz w:val="17"/>
              </w:rPr>
              <w:t>节点属性读取、校验、保存和删除</w:t>
            </w:r>
          </w:p>
        </w:tc>
      </w:tr>
      <w:tr w14:paraId="3A31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734ECE6F">
            <w:pPr>
              <w:spacing w:after="0" w:line="276" w:lineRule="auto"/>
            </w:pPr>
            <w:r>
              <w:rPr>
                <w:rFonts w:ascii="微软雅黑" w:hAnsi="微软雅黑" w:eastAsia="微软雅黑"/>
                <w:color w:val="243041"/>
                <w:sz w:val="17"/>
              </w:rPr>
              <w:t>frontend/js/layout.js</w:t>
            </w:r>
          </w:p>
        </w:tc>
        <w:tc>
          <w:tcPr>
            <w:tcW w:w="6060" w:type="dxa"/>
            <w:shd w:val="clear" w:color="auto" w:fill="F8FAFC"/>
            <w:tcMar>
              <w:top w:w="90" w:type="dxa"/>
              <w:left w:w="90" w:type="dxa"/>
              <w:bottom w:w="90" w:type="dxa"/>
              <w:right w:w="90" w:type="dxa"/>
            </w:tcMar>
            <w:vAlign w:val="center"/>
          </w:tcPr>
          <w:p w14:paraId="47A4B0E1">
            <w:pPr>
              <w:spacing w:after="0" w:line="276" w:lineRule="auto"/>
            </w:pPr>
            <w:r>
              <w:rPr>
                <w:rFonts w:ascii="微软雅黑" w:hAnsi="微软雅黑" w:eastAsia="微软雅黑"/>
                <w:color w:val="243041"/>
                <w:sz w:val="17"/>
              </w:rPr>
              <w:t>自动布局、工位容器、工位筛选和复杂示例加载</w:t>
            </w:r>
          </w:p>
        </w:tc>
      </w:tr>
      <w:tr w14:paraId="7536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3CA6C641">
            <w:pPr>
              <w:spacing w:after="0" w:line="276" w:lineRule="auto"/>
            </w:pPr>
            <w:r>
              <w:rPr>
                <w:rFonts w:ascii="微软雅黑" w:hAnsi="微软雅黑" w:eastAsia="微软雅黑"/>
                <w:color w:val="243041"/>
                <w:sz w:val="17"/>
              </w:rPr>
              <w:t>frontend/js/config.js</w:t>
            </w:r>
          </w:p>
        </w:tc>
        <w:tc>
          <w:tcPr>
            <w:tcW w:w="6060" w:type="dxa"/>
            <w:tcMar>
              <w:top w:w="90" w:type="dxa"/>
              <w:left w:w="90" w:type="dxa"/>
              <w:bottom w:w="90" w:type="dxa"/>
              <w:right w:w="90" w:type="dxa"/>
            </w:tcMar>
            <w:vAlign w:val="center"/>
          </w:tcPr>
          <w:p w14:paraId="3DD69DE0">
            <w:pPr>
              <w:spacing w:after="0" w:line="276" w:lineRule="auto"/>
            </w:pPr>
            <w:r>
              <w:rPr>
                <w:rFonts w:ascii="微软雅黑" w:hAnsi="微软雅黑" w:eastAsia="微软雅黑"/>
                <w:color w:val="243041"/>
                <w:sz w:val="17"/>
              </w:rPr>
              <w:t>全局配置读取、设备动态管理和表单同步</w:t>
            </w:r>
          </w:p>
        </w:tc>
      </w:tr>
      <w:tr w14:paraId="6E62D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5A7F4CDC">
            <w:pPr>
              <w:spacing w:after="0" w:line="276" w:lineRule="auto"/>
            </w:pPr>
            <w:r>
              <w:rPr>
                <w:rFonts w:ascii="微软雅黑" w:hAnsi="微软雅黑" w:eastAsia="微软雅黑"/>
                <w:color w:val="243041"/>
                <w:sz w:val="17"/>
              </w:rPr>
              <w:t>frontend/js/simulation.js</w:t>
            </w:r>
          </w:p>
        </w:tc>
        <w:tc>
          <w:tcPr>
            <w:tcW w:w="6060" w:type="dxa"/>
            <w:shd w:val="clear" w:color="auto" w:fill="F8FAFC"/>
            <w:tcMar>
              <w:top w:w="90" w:type="dxa"/>
              <w:left w:w="90" w:type="dxa"/>
              <w:bottom w:w="90" w:type="dxa"/>
              <w:right w:w="90" w:type="dxa"/>
            </w:tcMar>
            <w:vAlign w:val="center"/>
          </w:tcPr>
          <w:p w14:paraId="5C764680">
            <w:pPr>
              <w:spacing w:after="0" w:line="276" w:lineRule="auto"/>
            </w:pPr>
            <w:r>
              <w:rPr>
                <w:rFonts w:ascii="微软雅黑" w:hAnsi="微软雅黑" w:eastAsia="微软雅黑"/>
                <w:color w:val="243041"/>
                <w:sz w:val="17"/>
              </w:rPr>
              <w:t>构造仿真请求、异步调用、结果分发和 KPI 更新</w:t>
            </w:r>
          </w:p>
        </w:tc>
      </w:tr>
      <w:tr w14:paraId="4C35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123025B8">
            <w:pPr>
              <w:spacing w:after="0" w:line="276" w:lineRule="auto"/>
            </w:pPr>
            <w:r>
              <w:rPr>
                <w:rFonts w:ascii="微软雅黑" w:hAnsi="微软雅黑" w:eastAsia="微软雅黑"/>
                <w:color w:val="243041"/>
                <w:sz w:val="17"/>
              </w:rPr>
              <w:t>frontend/js/charts.js</w:t>
            </w:r>
          </w:p>
        </w:tc>
        <w:tc>
          <w:tcPr>
            <w:tcW w:w="6060" w:type="dxa"/>
            <w:tcMar>
              <w:top w:w="90" w:type="dxa"/>
              <w:left w:w="90" w:type="dxa"/>
              <w:bottom w:w="90" w:type="dxa"/>
              <w:right w:w="90" w:type="dxa"/>
            </w:tcMar>
            <w:vAlign w:val="center"/>
          </w:tcPr>
          <w:p w14:paraId="2EF39C65">
            <w:pPr>
              <w:spacing w:after="0" w:line="276" w:lineRule="auto"/>
            </w:pPr>
            <w:r>
              <w:rPr>
                <w:rFonts w:ascii="微软雅黑" w:hAnsi="微软雅黑" w:eastAsia="微软雅黑"/>
                <w:color w:val="243041"/>
                <w:sz w:val="17"/>
              </w:rPr>
              <w:t>利用率、疲劳曲线和甘特图渲染</w:t>
            </w:r>
          </w:p>
        </w:tc>
      </w:tr>
      <w:tr w14:paraId="31FE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231B171F">
            <w:pPr>
              <w:spacing w:after="0" w:line="276" w:lineRule="auto"/>
            </w:pPr>
            <w:r>
              <w:rPr>
                <w:rFonts w:ascii="微软雅黑" w:hAnsi="微软雅黑" w:eastAsia="微软雅黑"/>
                <w:color w:val="243041"/>
                <w:sz w:val="17"/>
              </w:rPr>
              <w:t>frontend/js/analysis.js</w:t>
            </w:r>
          </w:p>
        </w:tc>
        <w:tc>
          <w:tcPr>
            <w:tcW w:w="6060" w:type="dxa"/>
            <w:shd w:val="clear" w:color="auto" w:fill="F8FAFC"/>
            <w:tcMar>
              <w:top w:w="90" w:type="dxa"/>
              <w:left w:w="90" w:type="dxa"/>
              <w:bottom w:w="90" w:type="dxa"/>
              <w:right w:w="90" w:type="dxa"/>
            </w:tcMar>
            <w:vAlign w:val="center"/>
          </w:tcPr>
          <w:p w14:paraId="409CE725">
            <w:pPr>
              <w:spacing w:after="0" w:line="276" w:lineRule="auto"/>
            </w:pPr>
            <w:r>
              <w:rPr>
                <w:rFonts w:ascii="微软雅黑" w:hAnsi="微软雅黑" w:eastAsia="微软雅黑"/>
                <w:color w:val="243041"/>
                <w:sz w:val="17"/>
              </w:rPr>
              <w:t>瓶颈识别、改进建议、工位统计和流转矩阵</w:t>
            </w:r>
          </w:p>
        </w:tc>
      </w:tr>
      <w:tr w14:paraId="6D6F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38ED82CF">
            <w:pPr>
              <w:spacing w:after="0" w:line="276" w:lineRule="auto"/>
            </w:pPr>
            <w:r>
              <w:rPr>
                <w:rFonts w:ascii="微软雅黑" w:hAnsi="微软雅黑" w:eastAsia="微软雅黑"/>
                <w:color w:val="243041"/>
                <w:sz w:val="17"/>
              </w:rPr>
              <w:t>frontend/js/csv.js</w:t>
            </w:r>
          </w:p>
        </w:tc>
        <w:tc>
          <w:tcPr>
            <w:tcW w:w="6060" w:type="dxa"/>
            <w:tcMar>
              <w:top w:w="90" w:type="dxa"/>
              <w:left w:w="90" w:type="dxa"/>
              <w:bottom w:w="90" w:type="dxa"/>
              <w:right w:w="90" w:type="dxa"/>
            </w:tcMar>
            <w:vAlign w:val="center"/>
          </w:tcPr>
          <w:p w14:paraId="4FCD10AC">
            <w:pPr>
              <w:spacing w:after="0" w:line="276" w:lineRule="auto"/>
            </w:pPr>
            <w:r>
              <w:rPr>
                <w:rFonts w:ascii="微软雅黑" w:hAnsi="微软雅黑" w:eastAsia="微软雅黑"/>
                <w:color w:val="243041"/>
                <w:sz w:val="17"/>
              </w:rPr>
              <w:t>工艺 CSV 导入、依赖重建和导出</w:t>
            </w:r>
          </w:p>
        </w:tc>
      </w:tr>
      <w:tr w14:paraId="4214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3985047F">
            <w:pPr>
              <w:spacing w:after="0" w:line="276" w:lineRule="auto"/>
            </w:pPr>
            <w:r>
              <w:rPr>
                <w:rFonts w:ascii="微软雅黑" w:hAnsi="微软雅黑" w:eastAsia="微软雅黑"/>
                <w:color w:val="243041"/>
                <w:sz w:val="17"/>
              </w:rPr>
              <w:t>frontend/js/state.js</w:t>
            </w:r>
          </w:p>
        </w:tc>
        <w:tc>
          <w:tcPr>
            <w:tcW w:w="6060" w:type="dxa"/>
            <w:shd w:val="clear" w:color="auto" w:fill="F8FAFC"/>
            <w:tcMar>
              <w:top w:w="90" w:type="dxa"/>
              <w:left w:w="90" w:type="dxa"/>
              <w:bottom w:w="90" w:type="dxa"/>
              <w:right w:w="90" w:type="dxa"/>
            </w:tcMar>
            <w:vAlign w:val="center"/>
          </w:tcPr>
          <w:p w14:paraId="4F24FF0D">
            <w:pPr>
              <w:spacing w:after="0" w:line="276" w:lineRule="auto"/>
            </w:pPr>
            <w:r>
              <w:rPr>
                <w:rFonts w:ascii="微软雅黑" w:hAnsi="微软雅黑" w:eastAsia="微软雅黑"/>
                <w:color w:val="243041"/>
                <w:sz w:val="17"/>
              </w:rPr>
              <w:t>节点、连线、配置和结果的统一前端状态</w:t>
            </w:r>
          </w:p>
        </w:tc>
      </w:tr>
    </w:tbl>
    <w:p w14:paraId="03D0E8C1">
      <w:pPr>
        <w:spacing w:after="0"/>
      </w:pPr>
    </w:p>
    <w:p w14:paraId="1301E188">
      <w:pPr>
        <w:pStyle w:val="4"/>
        <w:keepNext/>
        <w:keepLines/>
      </w:pPr>
      <w:bookmarkStart w:id="56" w:name="_Toc27309"/>
      <w:r>
        <w:t>11.4 后端源程序对应关系</w:t>
      </w:r>
      <w:bookmarkEnd w:id="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81"/>
      </w:tblGrid>
      <w:tr w14:paraId="5266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00" w:type="dxa"/>
            <w:shd w:val="clear" w:color="auto" w:fill="17324D"/>
            <w:tcMar>
              <w:top w:w="90" w:type="dxa"/>
              <w:left w:w="90" w:type="dxa"/>
              <w:bottom w:w="90" w:type="dxa"/>
              <w:right w:w="90" w:type="dxa"/>
            </w:tcMar>
            <w:vAlign w:val="center"/>
          </w:tcPr>
          <w:p w14:paraId="317C10F3">
            <w:pPr>
              <w:spacing w:after="0"/>
              <w:jc w:val="center"/>
            </w:pPr>
            <w:r>
              <w:rPr>
                <w:rFonts w:ascii="微软雅黑" w:hAnsi="微软雅黑" w:eastAsia="微软雅黑"/>
                <w:b/>
                <w:color w:val="FFFFFF"/>
                <w:sz w:val="16"/>
              </w:rPr>
              <w:t>源程序文件</w:t>
            </w:r>
          </w:p>
        </w:tc>
        <w:tc>
          <w:tcPr>
            <w:tcW w:w="6060" w:type="dxa"/>
            <w:shd w:val="clear" w:color="auto" w:fill="17324D"/>
            <w:tcMar>
              <w:top w:w="90" w:type="dxa"/>
              <w:left w:w="90" w:type="dxa"/>
              <w:bottom w:w="90" w:type="dxa"/>
              <w:right w:w="90" w:type="dxa"/>
            </w:tcMar>
            <w:vAlign w:val="center"/>
          </w:tcPr>
          <w:p w14:paraId="26D53F6D">
            <w:pPr>
              <w:spacing w:after="0"/>
              <w:jc w:val="center"/>
            </w:pPr>
            <w:r>
              <w:rPr>
                <w:rFonts w:ascii="微软雅黑" w:hAnsi="微软雅黑" w:eastAsia="微软雅黑"/>
                <w:b/>
                <w:color w:val="FFFFFF"/>
                <w:sz w:val="16"/>
              </w:rPr>
              <w:t>对应功能</w:t>
            </w:r>
          </w:p>
        </w:tc>
      </w:tr>
      <w:tr w14:paraId="61F2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6E7D5DFD">
            <w:pPr>
              <w:spacing w:after="0" w:line="276" w:lineRule="auto"/>
            </w:pPr>
            <w:r>
              <w:rPr>
                <w:rFonts w:ascii="微软雅黑" w:hAnsi="微软雅黑" w:eastAsia="微软雅黑"/>
                <w:color w:val="243041"/>
                <w:sz w:val="16"/>
              </w:rPr>
              <w:t>app/main.py</w:t>
            </w:r>
          </w:p>
        </w:tc>
        <w:tc>
          <w:tcPr>
            <w:tcW w:w="6060" w:type="dxa"/>
            <w:tcMar>
              <w:top w:w="90" w:type="dxa"/>
              <w:left w:w="90" w:type="dxa"/>
              <w:bottom w:w="90" w:type="dxa"/>
              <w:right w:w="90" w:type="dxa"/>
            </w:tcMar>
            <w:vAlign w:val="center"/>
          </w:tcPr>
          <w:p w14:paraId="06639233">
            <w:pPr>
              <w:spacing w:after="0" w:line="276" w:lineRule="auto"/>
            </w:pPr>
            <w:r>
              <w:rPr>
                <w:rFonts w:ascii="微软雅黑" w:hAnsi="微软雅黑" w:eastAsia="微软雅黑"/>
                <w:color w:val="243041"/>
                <w:sz w:val="16"/>
              </w:rPr>
              <w:t>FastAPI 应用入口、静态前端、路由注册、健康检查和生命周期管理</w:t>
            </w:r>
          </w:p>
        </w:tc>
      </w:tr>
      <w:tr w14:paraId="184E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342FAA72">
            <w:pPr>
              <w:spacing w:after="0" w:line="276" w:lineRule="auto"/>
            </w:pPr>
            <w:r>
              <w:rPr>
                <w:rFonts w:ascii="微软雅黑" w:hAnsi="微软雅黑" w:eastAsia="微软雅黑"/>
                <w:color w:val="243041"/>
                <w:sz w:val="16"/>
              </w:rPr>
              <w:t>app/api/config.py</w:t>
            </w:r>
          </w:p>
        </w:tc>
        <w:tc>
          <w:tcPr>
            <w:tcW w:w="6060" w:type="dxa"/>
            <w:shd w:val="clear" w:color="auto" w:fill="F8FAFC"/>
            <w:tcMar>
              <w:top w:w="90" w:type="dxa"/>
              <w:left w:w="90" w:type="dxa"/>
              <w:bottom w:w="90" w:type="dxa"/>
              <w:right w:w="90" w:type="dxa"/>
            </w:tcMar>
            <w:vAlign w:val="center"/>
          </w:tcPr>
          <w:p w14:paraId="118870BA">
            <w:pPr>
              <w:spacing w:after="0" w:line="276" w:lineRule="auto"/>
            </w:pPr>
            <w:r>
              <w:rPr>
                <w:rFonts w:ascii="微软雅黑" w:hAnsi="微软雅黑" w:eastAsia="微软雅黑"/>
                <w:color w:val="243041"/>
                <w:sz w:val="16"/>
              </w:rPr>
              <w:t>配置读取、范围校验、设备增删和时间信息接口</w:t>
            </w:r>
          </w:p>
        </w:tc>
      </w:tr>
      <w:tr w14:paraId="4C9B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5DAC54BF">
            <w:pPr>
              <w:spacing w:after="0" w:line="276" w:lineRule="auto"/>
            </w:pPr>
            <w:r>
              <w:rPr>
                <w:rFonts w:ascii="微软雅黑" w:hAnsi="微软雅黑" w:eastAsia="微软雅黑"/>
                <w:color w:val="243041"/>
                <w:sz w:val="16"/>
              </w:rPr>
              <w:t>app/api/process.py</w:t>
            </w:r>
          </w:p>
        </w:tc>
        <w:tc>
          <w:tcPr>
            <w:tcW w:w="6060" w:type="dxa"/>
            <w:tcMar>
              <w:top w:w="90" w:type="dxa"/>
              <w:left w:w="90" w:type="dxa"/>
              <w:bottom w:w="90" w:type="dxa"/>
              <w:right w:w="90" w:type="dxa"/>
            </w:tcMar>
            <w:vAlign w:val="center"/>
          </w:tcPr>
          <w:p w14:paraId="6048F802">
            <w:pPr>
              <w:spacing w:after="0" w:line="276" w:lineRule="auto"/>
            </w:pPr>
            <w:r>
              <w:rPr>
                <w:rFonts w:ascii="微软雅黑" w:hAnsi="微软雅黑" w:eastAsia="微软雅黑"/>
                <w:color w:val="243041"/>
                <w:sz w:val="16"/>
              </w:rPr>
              <w:t>CSV 解析、流程验证、示例流程、保存和导出接口</w:t>
            </w:r>
          </w:p>
        </w:tc>
      </w:tr>
      <w:tr w14:paraId="5130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21FFC9D3">
            <w:pPr>
              <w:spacing w:after="0" w:line="276" w:lineRule="auto"/>
            </w:pPr>
            <w:r>
              <w:rPr>
                <w:rFonts w:ascii="微软雅黑" w:hAnsi="微软雅黑" w:eastAsia="微软雅黑"/>
                <w:color w:val="243041"/>
                <w:sz w:val="16"/>
              </w:rPr>
              <w:t>app/api/simulation.py</w:t>
            </w:r>
          </w:p>
        </w:tc>
        <w:tc>
          <w:tcPr>
            <w:tcW w:w="6060" w:type="dxa"/>
            <w:shd w:val="clear" w:color="auto" w:fill="F8FAFC"/>
            <w:tcMar>
              <w:top w:w="90" w:type="dxa"/>
              <w:left w:w="90" w:type="dxa"/>
              <w:bottom w:w="90" w:type="dxa"/>
              <w:right w:w="90" w:type="dxa"/>
            </w:tcMar>
            <w:vAlign w:val="center"/>
          </w:tcPr>
          <w:p w14:paraId="35037330">
            <w:pPr>
              <w:spacing w:after="0" w:line="276" w:lineRule="auto"/>
            </w:pPr>
            <w:r>
              <w:rPr>
                <w:rFonts w:ascii="微软雅黑" w:hAnsi="微软雅黑" w:eastAsia="微软雅黑"/>
                <w:color w:val="243041"/>
                <w:sz w:val="16"/>
              </w:rPr>
              <w:t>仿真启动、状态查询、停止、列表和实例管理</w:t>
            </w:r>
          </w:p>
        </w:tc>
      </w:tr>
      <w:tr w14:paraId="2F45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625D23E3">
            <w:pPr>
              <w:spacing w:after="0" w:line="276" w:lineRule="auto"/>
            </w:pPr>
            <w:r>
              <w:rPr>
                <w:rFonts w:ascii="微软雅黑" w:hAnsi="微软雅黑" w:eastAsia="微软雅黑"/>
                <w:color w:val="243041"/>
                <w:sz w:val="16"/>
              </w:rPr>
              <w:t>app/api/results.py</w:t>
            </w:r>
          </w:p>
        </w:tc>
        <w:tc>
          <w:tcPr>
            <w:tcW w:w="6060" w:type="dxa"/>
            <w:tcMar>
              <w:top w:w="90" w:type="dxa"/>
              <w:left w:w="90" w:type="dxa"/>
              <w:bottom w:w="90" w:type="dxa"/>
              <w:right w:w="90" w:type="dxa"/>
            </w:tcMar>
            <w:vAlign w:val="center"/>
          </w:tcPr>
          <w:p w14:paraId="6D43C547">
            <w:pPr>
              <w:spacing w:after="0" w:line="276" w:lineRule="auto"/>
            </w:pPr>
            <w:r>
              <w:rPr>
                <w:rFonts w:ascii="微软雅黑" w:hAnsi="微软雅黑" w:eastAsia="微软雅黑"/>
                <w:color w:val="243041"/>
                <w:sz w:val="16"/>
              </w:rPr>
              <w:t>结果查询、瓶颈、甘特图、CSV 和 JSON 报告导出</w:t>
            </w:r>
          </w:p>
        </w:tc>
      </w:tr>
      <w:tr w14:paraId="13D8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1261FC6A">
            <w:pPr>
              <w:spacing w:after="0" w:line="276" w:lineRule="auto"/>
            </w:pPr>
            <w:r>
              <w:rPr>
                <w:rFonts w:ascii="微软雅黑" w:hAnsi="微软雅黑" w:eastAsia="微软雅黑"/>
                <w:color w:val="243041"/>
                <w:sz w:val="16"/>
              </w:rPr>
              <w:t>app/core/dag_scheduler.py</w:t>
            </w:r>
          </w:p>
        </w:tc>
        <w:tc>
          <w:tcPr>
            <w:tcW w:w="6060" w:type="dxa"/>
            <w:shd w:val="clear" w:color="auto" w:fill="F8FAFC"/>
            <w:tcMar>
              <w:top w:w="90" w:type="dxa"/>
              <w:left w:w="90" w:type="dxa"/>
              <w:bottom w:w="90" w:type="dxa"/>
              <w:right w:w="90" w:type="dxa"/>
            </w:tcMar>
            <w:vAlign w:val="center"/>
          </w:tcPr>
          <w:p w14:paraId="6EC1599B">
            <w:pPr>
              <w:spacing w:after="0" w:line="276" w:lineRule="auto"/>
            </w:pPr>
            <w:r>
              <w:rPr>
                <w:rFonts w:ascii="微软雅黑" w:hAnsi="微软雅黑" w:eastAsia="微软雅黑"/>
                <w:color w:val="243041"/>
                <w:sz w:val="16"/>
              </w:rPr>
              <w:t>DAG 构建、无环验证、拓扑排序和就绪任务检测</w:t>
            </w:r>
          </w:p>
        </w:tc>
      </w:tr>
      <w:tr w14:paraId="4900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784F43C1">
            <w:pPr>
              <w:spacing w:after="0" w:line="276" w:lineRule="auto"/>
            </w:pPr>
            <w:r>
              <w:rPr>
                <w:rFonts w:ascii="微软雅黑" w:hAnsi="微软雅黑" w:eastAsia="微软雅黑"/>
                <w:color w:val="243041"/>
                <w:sz w:val="16"/>
              </w:rPr>
              <w:t>app/core/simulation_engine.py</w:t>
            </w:r>
          </w:p>
        </w:tc>
        <w:tc>
          <w:tcPr>
            <w:tcW w:w="6060" w:type="dxa"/>
            <w:tcMar>
              <w:top w:w="90" w:type="dxa"/>
              <w:left w:w="90" w:type="dxa"/>
              <w:bottom w:w="90" w:type="dxa"/>
              <w:right w:w="90" w:type="dxa"/>
            </w:tcMar>
            <w:vAlign w:val="center"/>
          </w:tcPr>
          <w:p w14:paraId="32CD7306">
            <w:pPr>
              <w:spacing w:after="0" w:line="276" w:lineRule="auto"/>
            </w:pPr>
            <w:r>
              <w:rPr>
                <w:rFonts w:ascii="微软雅黑" w:hAnsi="微软雅黑" w:eastAsia="微软雅黑"/>
                <w:color w:val="243041"/>
                <w:sz w:val="16"/>
              </w:rPr>
              <w:t>SimPy 环境、发动机投放、主仿真流程和结果汇总</w:t>
            </w:r>
          </w:p>
        </w:tc>
      </w:tr>
      <w:tr w14:paraId="1DC6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65618EC8">
            <w:pPr>
              <w:spacing w:after="0" w:line="276" w:lineRule="auto"/>
            </w:pPr>
            <w:r>
              <w:rPr>
                <w:rFonts w:ascii="微软雅黑" w:hAnsi="微软雅黑" w:eastAsia="微软雅黑"/>
                <w:color w:val="243041"/>
                <w:sz w:val="16"/>
              </w:rPr>
              <w:t>app/core/task_executor.py</w:t>
            </w:r>
          </w:p>
        </w:tc>
        <w:tc>
          <w:tcPr>
            <w:tcW w:w="6060" w:type="dxa"/>
            <w:shd w:val="clear" w:color="auto" w:fill="F8FAFC"/>
            <w:tcMar>
              <w:top w:w="90" w:type="dxa"/>
              <w:left w:w="90" w:type="dxa"/>
              <w:bottom w:w="90" w:type="dxa"/>
              <w:right w:w="90" w:type="dxa"/>
            </w:tcMar>
            <w:vAlign w:val="center"/>
          </w:tcPr>
          <w:p w14:paraId="6C5A19C8">
            <w:pPr>
              <w:spacing w:after="0" w:line="276" w:lineRule="auto"/>
            </w:pPr>
            <w:r>
              <w:rPr>
                <w:rFonts w:ascii="微软雅黑" w:hAnsi="微软雅黑" w:eastAsia="微软雅黑"/>
                <w:color w:val="243041"/>
                <w:sz w:val="16"/>
              </w:rPr>
              <w:t>单任务状态机、工时、资源、休息和返工执行</w:t>
            </w:r>
          </w:p>
        </w:tc>
      </w:tr>
      <w:tr w14:paraId="3A30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7903EA82">
            <w:pPr>
              <w:spacing w:after="0" w:line="276" w:lineRule="auto"/>
            </w:pPr>
            <w:r>
              <w:rPr>
                <w:rFonts w:ascii="微软雅黑" w:hAnsi="微软雅黑" w:eastAsia="微软雅黑"/>
                <w:color w:val="243041"/>
                <w:sz w:val="16"/>
              </w:rPr>
              <w:t>app/core/worker_pool.py</w:t>
            </w:r>
          </w:p>
        </w:tc>
        <w:tc>
          <w:tcPr>
            <w:tcW w:w="6060" w:type="dxa"/>
            <w:tcMar>
              <w:top w:w="90" w:type="dxa"/>
              <w:left w:w="90" w:type="dxa"/>
              <w:bottom w:w="90" w:type="dxa"/>
              <w:right w:w="90" w:type="dxa"/>
            </w:tcMar>
            <w:vAlign w:val="center"/>
          </w:tcPr>
          <w:p w14:paraId="3445694C">
            <w:pPr>
              <w:spacing w:after="0" w:line="276" w:lineRule="auto"/>
            </w:pPr>
            <w:r>
              <w:rPr>
                <w:rFonts w:ascii="微软雅黑" w:hAnsi="微软雅黑" w:eastAsia="微软雅黑"/>
                <w:color w:val="243041"/>
                <w:sz w:val="16"/>
              </w:rPr>
              <w:t>工人分配、状态、疲劳、休息和利用率统计</w:t>
            </w:r>
          </w:p>
        </w:tc>
      </w:tr>
      <w:tr w14:paraId="581F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48B3E32F">
            <w:pPr>
              <w:spacing w:after="0" w:line="276" w:lineRule="auto"/>
            </w:pPr>
            <w:r>
              <w:rPr>
                <w:rFonts w:ascii="微软雅黑" w:hAnsi="微软雅黑" w:eastAsia="微软雅黑"/>
                <w:color w:val="243041"/>
                <w:sz w:val="16"/>
              </w:rPr>
              <w:t>app/core/equipment_manager.py</w:t>
            </w:r>
          </w:p>
        </w:tc>
        <w:tc>
          <w:tcPr>
            <w:tcW w:w="6060" w:type="dxa"/>
            <w:shd w:val="clear" w:color="auto" w:fill="F8FAFC"/>
            <w:tcMar>
              <w:top w:w="90" w:type="dxa"/>
              <w:left w:w="90" w:type="dxa"/>
              <w:bottom w:w="90" w:type="dxa"/>
              <w:right w:w="90" w:type="dxa"/>
            </w:tcMar>
            <w:vAlign w:val="center"/>
          </w:tcPr>
          <w:p w14:paraId="4949D2C6">
            <w:pPr>
              <w:spacing w:after="0" w:line="276" w:lineRule="auto"/>
            </w:pPr>
            <w:r>
              <w:rPr>
                <w:rFonts w:ascii="微软雅黑" w:hAnsi="微软雅黑" w:eastAsia="微软雅黑"/>
                <w:color w:val="243041"/>
                <w:sz w:val="16"/>
              </w:rPr>
              <w:t>关键设备容量、优先级排队和占用统计</w:t>
            </w:r>
          </w:p>
        </w:tc>
      </w:tr>
      <w:tr w14:paraId="408B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1AF27319">
            <w:pPr>
              <w:spacing w:after="0" w:line="276" w:lineRule="auto"/>
            </w:pPr>
            <w:r>
              <w:rPr>
                <w:rFonts w:ascii="微软雅黑" w:hAnsi="微软雅黑" w:eastAsia="微软雅黑"/>
                <w:color w:val="243041"/>
                <w:sz w:val="16"/>
              </w:rPr>
              <w:t>app/core/event_collector.py</w:t>
            </w:r>
          </w:p>
        </w:tc>
        <w:tc>
          <w:tcPr>
            <w:tcW w:w="6060" w:type="dxa"/>
            <w:tcMar>
              <w:top w:w="90" w:type="dxa"/>
              <w:left w:w="90" w:type="dxa"/>
              <w:bottom w:w="90" w:type="dxa"/>
              <w:right w:w="90" w:type="dxa"/>
            </w:tcMar>
            <w:vAlign w:val="center"/>
          </w:tcPr>
          <w:p w14:paraId="3EB3FF0E">
            <w:pPr>
              <w:spacing w:after="0" w:line="276" w:lineRule="auto"/>
            </w:pPr>
            <w:r>
              <w:rPr>
                <w:rFonts w:ascii="微软雅黑" w:hAnsi="微软雅黑" w:eastAsia="微软雅黑"/>
                <w:color w:val="243041"/>
                <w:sz w:val="16"/>
              </w:rPr>
              <w:t>全过程事件记录和时间线生成</w:t>
            </w:r>
          </w:p>
        </w:tc>
      </w:tr>
      <w:tr w14:paraId="1523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48F2ACBB">
            <w:pPr>
              <w:spacing w:after="0" w:line="276" w:lineRule="auto"/>
            </w:pPr>
            <w:r>
              <w:rPr>
                <w:rFonts w:ascii="微软雅黑" w:hAnsi="微软雅黑" w:eastAsia="微软雅黑"/>
                <w:color w:val="243041"/>
                <w:sz w:val="16"/>
              </w:rPr>
              <w:t>app/utils/statistics.py</w:t>
            </w:r>
          </w:p>
        </w:tc>
        <w:tc>
          <w:tcPr>
            <w:tcW w:w="6060" w:type="dxa"/>
            <w:shd w:val="clear" w:color="auto" w:fill="F8FAFC"/>
            <w:tcMar>
              <w:top w:w="90" w:type="dxa"/>
              <w:left w:w="90" w:type="dxa"/>
              <w:bottom w:w="90" w:type="dxa"/>
              <w:right w:w="90" w:type="dxa"/>
            </w:tcMar>
            <w:vAlign w:val="center"/>
          </w:tcPr>
          <w:p w14:paraId="5A5F9505">
            <w:pPr>
              <w:spacing w:after="0" w:line="276" w:lineRule="auto"/>
            </w:pPr>
            <w:r>
              <w:rPr>
                <w:rFonts w:ascii="微软雅黑" w:hAnsi="微软雅黑" w:eastAsia="微软雅黑"/>
                <w:color w:val="243041"/>
                <w:sz w:val="16"/>
              </w:rPr>
              <w:t>KPI、资源、质量、瓶颈和工位统计</w:t>
            </w:r>
          </w:p>
        </w:tc>
      </w:tr>
      <w:tr w14:paraId="6C10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Mar>
              <w:top w:w="90" w:type="dxa"/>
              <w:left w:w="90" w:type="dxa"/>
              <w:bottom w:w="90" w:type="dxa"/>
              <w:right w:w="90" w:type="dxa"/>
            </w:tcMar>
            <w:vAlign w:val="center"/>
          </w:tcPr>
          <w:p w14:paraId="79D8999A">
            <w:pPr>
              <w:spacing w:after="0" w:line="276" w:lineRule="auto"/>
            </w:pPr>
            <w:r>
              <w:rPr>
                <w:rFonts w:ascii="微软雅黑" w:hAnsi="微软雅黑" w:eastAsia="微软雅黑"/>
                <w:color w:val="243041"/>
                <w:sz w:val="16"/>
              </w:rPr>
              <w:t>app/utils/validators.py</w:t>
            </w:r>
          </w:p>
        </w:tc>
        <w:tc>
          <w:tcPr>
            <w:tcW w:w="6060" w:type="dxa"/>
            <w:tcMar>
              <w:top w:w="90" w:type="dxa"/>
              <w:left w:w="90" w:type="dxa"/>
              <w:bottom w:w="90" w:type="dxa"/>
              <w:right w:w="90" w:type="dxa"/>
            </w:tcMar>
            <w:vAlign w:val="center"/>
          </w:tcPr>
          <w:p w14:paraId="45923297">
            <w:pPr>
              <w:spacing w:after="0" w:line="276" w:lineRule="auto"/>
            </w:pPr>
            <w:r>
              <w:rPr>
                <w:rFonts w:ascii="微软雅黑" w:hAnsi="微软雅黑" w:eastAsia="微软雅黑"/>
                <w:color w:val="243041"/>
                <w:sz w:val="16"/>
              </w:rPr>
              <w:t>配置、工艺和业务规则校验</w:t>
            </w:r>
          </w:p>
        </w:tc>
      </w:tr>
      <w:tr w14:paraId="7B6A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shd w:val="clear" w:color="auto" w:fill="F8FAFC"/>
            <w:tcMar>
              <w:top w:w="90" w:type="dxa"/>
              <w:left w:w="90" w:type="dxa"/>
              <w:bottom w:w="90" w:type="dxa"/>
              <w:right w:w="90" w:type="dxa"/>
            </w:tcMar>
            <w:vAlign w:val="center"/>
          </w:tcPr>
          <w:p w14:paraId="0B4E0C21">
            <w:pPr>
              <w:spacing w:after="0" w:line="276" w:lineRule="auto"/>
            </w:pPr>
            <w:r>
              <w:rPr>
                <w:rFonts w:ascii="微软雅黑" w:hAnsi="微软雅黑" w:eastAsia="微软雅黑"/>
                <w:color w:val="243041"/>
                <w:sz w:val="16"/>
              </w:rPr>
              <w:t>app/models/*.py</w:t>
            </w:r>
          </w:p>
        </w:tc>
        <w:tc>
          <w:tcPr>
            <w:tcW w:w="6060" w:type="dxa"/>
            <w:shd w:val="clear" w:color="auto" w:fill="F8FAFC"/>
            <w:tcMar>
              <w:top w:w="90" w:type="dxa"/>
              <w:left w:w="90" w:type="dxa"/>
              <w:bottom w:w="90" w:type="dxa"/>
              <w:right w:w="90" w:type="dxa"/>
            </w:tcMar>
            <w:vAlign w:val="center"/>
          </w:tcPr>
          <w:p w14:paraId="0393736B">
            <w:pPr>
              <w:spacing w:after="0" w:line="276" w:lineRule="auto"/>
            </w:pPr>
            <w:r>
              <w:rPr>
                <w:rFonts w:ascii="微软雅黑" w:hAnsi="微软雅黑" w:eastAsia="微软雅黑"/>
                <w:color w:val="243041"/>
                <w:sz w:val="16"/>
              </w:rPr>
              <w:t>配置、工艺、工人、甘特图和结果数据模型</w:t>
            </w:r>
          </w:p>
        </w:tc>
      </w:tr>
    </w:tbl>
    <w:p w14:paraId="3146479B">
      <w:pPr>
        <w:spacing w:after="0"/>
      </w:pPr>
    </w:p>
    <w:p w14:paraId="0DA5B0D0">
      <w:pPr>
        <w:pStyle w:val="3"/>
        <w:keepNext/>
        <w:keepLines/>
      </w:pPr>
      <w:bookmarkStart w:id="57" w:name="_Toc32674"/>
      <w:r>
        <w:t>12 数据校验、异常处理与安全性</w:t>
      </w:r>
      <w:bookmarkEnd w:id="57"/>
    </w:p>
    <w:p w14:paraId="290B3C5E">
      <w:pPr>
        <w:pStyle w:val="4"/>
        <w:keepNext/>
        <w:keepLines/>
      </w:pPr>
      <w:bookmarkStart w:id="58" w:name="_Toc14920"/>
      <w:r>
        <w:t>12.1 输入校验</w:t>
      </w:r>
      <w:bookmarkEnd w:id="58"/>
    </w:p>
    <w:p w14:paraId="6AE73C55">
      <w:pPr>
        <w:pStyle w:val="16"/>
        <w:spacing w:after="40" w:line="288" w:lineRule="auto"/>
        <w:ind w:left="312" w:hanging="142"/>
      </w:pPr>
      <w:r>
        <w:rPr>
          <w:rFonts w:ascii="微软雅黑" w:hAnsi="微软雅黑" w:eastAsia="微软雅黑"/>
          <w:sz w:val="21"/>
        </w:rPr>
        <w:t>步骤 ID 不能为空且必须唯一；前置节点必须存在，禁止节点依赖自身。</w:t>
      </w:r>
    </w:p>
    <w:p w14:paraId="061890DC">
      <w:pPr>
        <w:pStyle w:val="16"/>
        <w:spacing w:after="40" w:line="288" w:lineRule="auto"/>
        <w:ind w:left="312" w:hanging="142"/>
      </w:pPr>
      <w:r>
        <w:rPr>
          <w:rFonts w:ascii="微软雅黑" w:hAnsi="微软雅黑" w:eastAsia="微软雅黑"/>
          <w:sz w:val="21"/>
        </w:rPr>
        <w:t>标准工时必须为正数，时间方差不得为负数，返工概率限制在0至1。</w:t>
      </w:r>
    </w:p>
    <w:p w14:paraId="743FFFDF">
      <w:pPr>
        <w:pStyle w:val="16"/>
        <w:spacing w:after="40" w:line="288" w:lineRule="auto"/>
        <w:ind w:left="312" w:hanging="142"/>
      </w:pPr>
      <w:r>
        <w:rPr>
          <w:rFonts w:ascii="微软雅黑" w:hAnsi="微软雅黑" w:eastAsia="微软雅黑"/>
          <w:sz w:val="21"/>
        </w:rPr>
        <w:t>REBA 负荷评分限制在1至10，工人数量和设备容量必须为正整数。</w:t>
      </w:r>
    </w:p>
    <w:p w14:paraId="4D25AEEF">
      <w:pPr>
        <w:pStyle w:val="16"/>
        <w:spacing w:after="40" w:line="288" w:lineRule="auto"/>
        <w:ind w:left="312" w:hanging="142"/>
      </w:pPr>
      <w:r>
        <w:rPr>
          <w:rFonts w:ascii="微软雅黑" w:hAnsi="微软雅黑" w:eastAsia="微软雅黑"/>
          <w:sz w:val="21"/>
        </w:rPr>
        <w:t>每日工时、每月天数、目标产量和休息时间必须位于模型定义的合理范围。</w:t>
      </w:r>
    </w:p>
    <w:p w14:paraId="4B88C815">
      <w:pPr>
        <w:pStyle w:val="16"/>
        <w:spacing w:after="40" w:line="288" w:lineRule="auto"/>
        <w:ind w:left="312" w:hanging="142"/>
      </w:pPr>
      <w:r>
        <w:rPr>
          <w:rFonts w:ascii="微软雅黑" w:hAnsi="微软雅黑" w:eastAsia="微软雅黑"/>
          <w:sz w:val="21"/>
        </w:rPr>
        <w:t>关键设备名称需与工序所需工具名称一致，否则该工具按非瓶颈资源处理。</w:t>
      </w:r>
    </w:p>
    <w:p w14:paraId="458B8A4D">
      <w:pPr>
        <w:pStyle w:val="4"/>
        <w:keepNext/>
        <w:keepLines/>
      </w:pPr>
      <w:bookmarkStart w:id="59" w:name="_Toc9078"/>
      <w:r>
        <w:t>12.2 流程结构校验</w:t>
      </w:r>
      <w:bookmarkEnd w:id="59"/>
    </w:p>
    <w:p w14:paraId="5DDFBBC3">
      <w:pPr>
        <w:spacing w:after="80" w:line="324" w:lineRule="auto"/>
        <w:ind w:firstLine="420"/>
      </w:pPr>
      <w:r>
        <w:rPr>
          <w:rFonts w:ascii="微软雅黑" w:hAnsi="微软雅黑" w:eastAsia="微软雅黑"/>
          <w:sz w:val="22"/>
        </w:rPr>
        <w:t>系统在仿真前构建有向图并检查是否为 DAG。若存在循环依赖、缺失前置节点或无有效起点，接口返回结构化错误信息，前端阻止运行并提示用户修正。通过拓扑校验后，运行阶段仍按节点完成状态动态判断就绪，避免后续任务提前开工。</w:t>
      </w:r>
    </w:p>
    <w:p w14:paraId="0745F37C">
      <w:pPr>
        <w:pStyle w:val="4"/>
        <w:keepNext/>
        <w:keepLines/>
      </w:pPr>
      <w:bookmarkStart w:id="60" w:name="_Toc19325"/>
      <w:r>
        <w:t>12.3 运行异常处理</w:t>
      </w:r>
      <w:bookmarkEnd w:id="60"/>
    </w:p>
    <w:p w14:paraId="0D25049D">
      <w:pPr>
        <w:spacing w:after="80" w:line="324" w:lineRule="auto"/>
        <w:ind w:firstLine="420"/>
      </w:pPr>
      <w:r>
        <w:rPr>
          <w:rFonts w:ascii="微软雅黑" w:hAnsi="微软雅黑" w:eastAsia="微软雅黑"/>
          <w:sz w:val="22"/>
        </w:rPr>
        <w:t>FastAPI 接口统一捕获参数错误、流程错误、资源配置错误和仿真执行异常。前端在请求期间显示运行状态，收到失败响应时展示错误原因；仿真实例支持状态查询和停止操作。结果导出前检查仿真 ID 和结果完整性，防止导出空数据。</w:t>
      </w:r>
    </w:p>
    <w:p w14:paraId="1A48286B">
      <w:pPr>
        <w:pStyle w:val="4"/>
        <w:keepNext/>
        <w:keepLines/>
      </w:pPr>
      <w:bookmarkStart w:id="61" w:name="_Toc23520"/>
      <w:r>
        <w:t>12.4 数据安全与部署边界</w:t>
      </w:r>
      <w:bookmarkEnd w:id="61"/>
    </w:p>
    <w:p w14:paraId="68B7B3C0">
      <w:pPr>
        <w:spacing w:after="80" w:line="324" w:lineRule="auto"/>
        <w:ind w:firstLine="420"/>
      </w:pPr>
      <w:r>
        <w:rPr>
          <w:rFonts w:ascii="微软雅黑" w:hAnsi="微软雅黑" w:eastAsia="微软雅黑"/>
          <w:sz w:val="22"/>
        </w:rPr>
        <w:t>本软件默认在本机或受控局域网运行，工艺、配置和结果通过当前服务进程处理。采用服务器部署时，应由部署单位配置访问控制、HTTPS、网络隔离、日志保留和数据备份策略。导出的 CSV/JSON 文件可能包含生产过程信息，应按所在单位的数据分类分级制度管理。</w:t>
      </w:r>
    </w:p>
    <w:p w14:paraId="6856364D">
      <w:pPr>
        <w:pStyle w:val="3"/>
        <w:keepNext/>
        <w:keepLines/>
      </w:pPr>
      <w:bookmarkStart w:id="62" w:name="_Toc14274"/>
      <w:r>
        <w:t>13 完整操作实例</w:t>
      </w:r>
      <w:bookmarkEnd w:id="62"/>
    </w:p>
    <w:p w14:paraId="26021286">
      <w:pPr>
        <w:pStyle w:val="4"/>
        <w:keepNext/>
        <w:keepLines/>
      </w:pPr>
      <w:bookmarkStart w:id="63" w:name="_Toc18857"/>
      <w:r>
        <w:t>13.1 实例目的与数据规模</w:t>
      </w:r>
      <w:bookmarkEnd w:id="63"/>
    </w:p>
    <w:p w14:paraId="69771A8B">
      <w:pPr>
        <w:spacing w:after="80" w:line="324" w:lineRule="auto"/>
        <w:ind w:firstLine="420"/>
      </w:pPr>
      <w:r>
        <w:rPr>
          <w:rFonts w:ascii="微软雅黑" w:hAnsi="微软雅黑" w:eastAsia="微软雅黑"/>
          <w:sz w:val="22"/>
        </w:rPr>
        <w:t>本实例用于展示从工艺加载、参数配置、仿真计算到报表和甘特图分析的完整使用流程。系统加载复杂航空发动机装配示例，共79个工艺节点、81条依赖连线，覆盖13个物理工位以及压气机、燃烧室、动力涡轮、减速箱、附件传动、管路预装、总装和试车等模块。</w:t>
      </w:r>
    </w:p>
    <w:p w14:paraId="4C412F2B">
      <w:pPr>
        <w:pStyle w:val="4"/>
        <w:keepNext/>
        <w:keepLines/>
      </w:pPr>
      <w:bookmarkStart w:id="64" w:name="_Toc32059"/>
      <w:r>
        <w:t>13.2 操作步骤</w:t>
      </w:r>
      <w:bookmarkEnd w:id="64"/>
    </w:p>
    <w:p w14:paraId="713D561D">
      <w:pPr>
        <w:pStyle w:val="14"/>
        <w:spacing w:after="60" w:line="300" w:lineRule="auto"/>
        <w:ind w:left="425" w:hanging="198"/>
      </w:pPr>
      <w:r>
        <w:rPr>
          <w:rFonts w:ascii="微软雅黑" w:hAnsi="微软雅黑" w:eastAsia="微软雅黑"/>
          <w:sz w:val="21"/>
        </w:rPr>
        <w:t>启动系统并进入流程编辑页，点击“加载复杂示例”，确认画布显示79个节点和81条连线。</w:t>
      </w:r>
    </w:p>
    <w:p w14:paraId="7190F3E0">
      <w:pPr>
        <w:pStyle w:val="14"/>
        <w:spacing w:after="60" w:line="300" w:lineRule="auto"/>
        <w:ind w:left="425" w:hanging="198"/>
      </w:pPr>
      <w:r>
        <w:rPr>
          <w:rFonts w:ascii="微软雅黑" w:hAnsi="微软雅黑" w:eastAsia="微软雅黑"/>
          <w:sz w:val="21"/>
        </w:rPr>
        <w:t>使用自动布局和工位视图检查模块并行、分支汇聚和跨工位依赖关系。</w:t>
      </w:r>
    </w:p>
    <w:p w14:paraId="07023FE1">
      <w:pPr>
        <w:pStyle w:val="14"/>
        <w:spacing w:after="60" w:line="300" w:lineRule="auto"/>
        <w:ind w:left="425" w:hanging="198"/>
      </w:pPr>
      <w:r>
        <w:rPr>
          <w:rFonts w:ascii="微软雅黑" w:hAnsi="微软雅黑" w:eastAsia="微软雅黑"/>
          <w:sz w:val="21"/>
        </w:rPr>
        <w:t>进入参数配置页，设置每日8小时、每月22天、15名工人、目标月产量10台和试车台容量1。</w:t>
      </w:r>
    </w:p>
    <w:p w14:paraId="4D0DDBDB">
      <w:pPr>
        <w:pStyle w:val="14"/>
        <w:spacing w:after="60" w:line="300" w:lineRule="auto"/>
        <w:ind w:left="425" w:hanging="198"/>
      </w:pPr>
      <w:r>
        <w:rPr>
          <w:rFonts w:ascii="微软雅黑" w:hAnsi="微软雅黑" w:eastAsia="微软雅黑"/>
          <w:sz w:val="21"/>
        </w:rPr>
        <w:t>启用流水线模式，设置连续工作40分钟休息10分钟、REBA阈值5和负荷微休息10分钟。</w:t>
      </w:r>
    </w:p>
    <w:p w14:paraId="75232F7B">
      <w:pPr>
        <w:pStyle w:val="14"/>
        <w:spacing w:after="60" w:line="300" w:lineRule="auto"/>
        <w:ind w:left="425" w:hanging="198"/>
      </w:pPr>
      <w:r>
        <w:rPr>
          <w:rFonts w:ascii="微软雅黑" w:hAnsi="微软雅黑" w:eastAsia="微软雅黑"/>
          <w:sz w:val="21"/>
        </w:rPr>
        <w:t>点击“运行仿真”，后端完成流程校验、DAG 调度、资源分配、疲劳休息、返工判定和结果统计。</w:t>
      </w:r>
    </w:p>
    <w:p w14:paraId="10BE0FFD">
      <w:pPr>
        <w:pStyle w:val="14"/>
        <w:spacing w:after="60" w:line="300" w:lineRule="auto"/>
        <w:ind w:left="425" w:hanging="198"/>
      </w:pPr>
      <w:r>
        <w:rPr>
          <w:rFonts w:ascii="微软雅黑" w:hAnsi="微软雅黑" w:eastAsia="微软雅黑"/>
          <w:sz w:val="21"/>
        </w:rPr>
        <w:t>查看 KPI：本次运行完成12台，计划达成率120.0%，平均周期69.1小时，一次通过率100.0%。</w:t>
      </w:r>
    </w:p>
    <w:p w14:paraId="6872CA21">
      <w:pPr>
        <w:pStyle w:val="14"/>
        <w:spacing w:after="60" w:line="300" w:lineRule="auto"/>
        <w:ind w:left="425" w:hanging="198"/>
      </w:pPr>
      <w:r>
        <w:rPr>
          <w:rFonts w:ascii="微软雅黑" w:hAnsi="微软雅黑" w:eastAsia="微软雅黑"/>
          <w:sz w:val="21"/>
        </w:rPr>
        <w:t>查看资源利用率和疲劳曲线，比较工人的工作、休息和空闲分布。</w:t>
      </w:r>
    </w:p>
    <w:p w14:paraId="2852CF15">
      <w:pPr>
        <w:pStyle w:val="14"/>
        <w:spacing w:after="60" w:line="300" w:lineRule="auto"/>
        <w:ind w:left="425" w:hanging="198"/>
      </w:pPr>
      <w:r>
        <w:rPr>
          <w:rFonts w:ascii="微软雅黑" w:hAnsi="微软雅黑" w:eastAsia="微软雅黑"/>
          <w:sz w:val="21"/>
        </w:rPr>
        <w:t>查看瓶颈分析、工位统计和流转矩阵，定位等待时间较长的任务和工位。</w:t>
      </w:r>
    </w:p>
    <w:p w14:paraId="284FCA57">
      <w:pPr>
        <w:pStyle w:val="14"/>
        <w:spacing w:after="60" w:line="300" w:lineRule="auto"/>
        <w:ind w:left="425" w:hanging="198"/>
      </w:pPr>
      <w:r>
        <w:rPr>
          <w:rFonts w:ascii="微软雅黑" w:hAnsi="微软雅黑" w:eastAsia="微软雅黑"/>
          <w:sz w:val="21"/>
        </w:rPr>
        <w:t>进入甘特图页，分别检查按发动机的生产进度和按工人的任务排产。</w:t>
      </w:r>
    </w:p>
    <w:p w14:paraId="32F9DD7D">
      <w:pPr>
        <w:pStyle w:val="14"/>
        <w:spacing w:after="60" w:line="300" w:lineRule="auto"/>
        <w:ind w:left="425" w:hanging="198"/>
      </w:pPr>
      <w:r>
        <w:rPr>
          <w:rFonts w:ascii="微软雅黑" w:hAnsi="微软雅黑" w:eastAsia="微软雅黑"/>
          <w:sz w:val="21"/>
        </w:rPr>
        <w:t>按需要导出当前工艺 CSV、甘特图 CSV 和完整 JSON 结果报告。</w:t>
      </w:r>
    </w:p>
    <w:p w14:paraId="4F33FB89">
      <w:pPr>
        <w:pStyle w:val="4"/>
        <w:keepNext/>
        <w:keepLines/>
      </w:pPr>
      <w:bookmarkStart w:id="65" w:name="_Toc22754"/>
      <w:r>
        <w:t>13.3 实例结果解读</w:t>
      </w:r>
      <w:bookmarkEnd w:id="6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3121"/>
        <w:gridCol w:w="3121"/>
      </w:tblGrid>
      <w:tr w14:paraId="5821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0" w:type="dxa"/>
            <w:shd w:val="clear" w:color="auto" w:fill="17324D"/>
            <w:tcMar>
              <w:top w:w="90" w:type="dxa"/>
              <w:left w:w="90" w:type="dxa"/>
              <w:bottom w:w="90" w:type="dxa"/>
              <w:right w:w="90" w:type="dxa"/>
            </w:tcMar>
            <w:vAlign w:val="center"/>
          </w:tcPr>
          <w:p w14:paraId="4E57ACEC">
            <w:pPr>
              <w:spacing w:after="0"/>
              <w:jc w:val="center"/>
            </w:pPr>
            <w:r>
              <w:rPr>
                <w:rFonts w:ascii="微软雅黑" w:hAnsi="微软雅黑" w:eastAsia="微软雅黑"/>
                <w:b/>
                <w:color w:val="FFFFFF"/>
                <w:sz w:val="18"/>
              </w:rPr>
              <w:t>分析维度</w:t>
            </w:r>
          </w:p>
        </w:tc>
        <w:tc>
          <w:tcPr>
            <w:tcW w:w="2900" w:type="dxa"/>
            <w:shd w:val="clear" w:color="auto" w:fill="17324D"/>
            <w:tcMar>
              <w:top w:w="90" w:type="dxa"/>
              <w:left w:w="90" w:type="dxa"/>
              <w:bottom w:w="90" w:type="dxa"/>
              <w:right w:w="90" w:type="dxa"/>
            </w:tcMar>
            <w:vAlign w:val="center"/>
          </w:tcPr>
          <w:p w14:paraId="5679B99A">
            <w:pPr>
              <w:spacing w:after="0"/>
              <w:jc w:val="center"/>
            </w:pPr>
            <w:r>
              <w:rPr>
                <w:rFonts w:ascii="微软雅黑" w:hAnsi="微软雅黑" w:eastAsia="微软雅黑"/>
                <w:b/>
                <w:color w:val="FFFFFF"/>
                <w:sz w:val="18"/>
              </w:rPr>
              <w:t>本次结果</w:t>
            </w:r>
          </w:p>
        </w:tc>
        <w:tc>
          <w:tcPr>
            <w:tcW w:w="4860" w:type="dxa"/>
            <w:shd w:val="clear" w:color="auto" w:fill="17324D"/>
            <w:tcMar>
              <w:top w:w="90" w:type="dxa"/>
              <w:left w:w="90" w:type="dxa"/>
              <w:bottom w:w="90" w:type="dxa"/>
              <w:right w:w="90" w:type="dxa"/>
            </w:tcMar>
            <w:vAlign w:val="center"/>
          </w:tcPr>
          <w:p w14:paraId="68B0A0E4">
            <w:pPr>
              <w:spacing w:after="0"/>
              <w:jc w:val="center"/>
            </w:pPr>
            <w:r>
              <w:rPr>
                <w:rFonts w:ascii="微软雅黑" w:hAnsi="微软雅黑" w:eastAsia="微软雅黑"/>
                <w:b/>
                <w:color w:val="FFFFFF"/>
                <w:sz w:val="18"/>
              </w:rPr>
              <w:t>说明</w:t>
            </w:r>
          </w:p>
        </w:tc>
      </w:tr>
      <w:tr w14:paraId="4B44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90" w:type="dxa"/>
              <w:left w:w="90" w:type="dxa"/>
              <w:bottom w:w="90" w:type="dxa"/>
              <w:right w:w="90" w:type="dxa"/>
            </w:tcMar>
            <w:vAlign w:val="center"/>
          </w:tcPr>
          <w:p w14:paraId="6EF35316">
            <w:pPr>
              <w:spacing w:after="0" w:line="276" w:lineRule="auto"/>
            </w:pPr>
            <w:r>
              <w:rPr>
                <w:rFonts w:ascii="微软雅黑" w:hAnsi="微软雅黑" w:eastAsia="微软雅黑"/>
                <w:color w:val="243041"/>
                <w:sz w:val="18"/>
              </w:rPr>
              <w:t>产量</w:t>
            </w:r>
          </w:p>
        </w:tc>
        <w:tc>
          <w:tcPr>
            <w:tcW w:w="2900" w:type="dxa"/>
            <w:tcMar>
              <w:top w:w="90" w:type="dxa"/>
              <w:left w:w="90" w:type="dxa"/>
              <w:bottom w:w="90" w:type="dxa"/>
              <w:right w:w="90" w:type="dxa"/>
            </w:tcMar>
            <w:vAlign w:val="center"/>
          </w:tcPr>
          <w:p w14:paraId="55E05AB2">
            <w:pPr>
              <w:spacing w:after="0" w:line="276" w:lineRule="auto"/>
            </w:pPr>
            <w:r>
              <w:rPr>
                <w:rFonts w:ascii="微软雅黑" w:hAnsi="微软雅黑" w:eastAsia="微软雅黑"/>
                <w:color w:val="243041"/>
                <w:sz w:val="18"/>
              </w:rPr>
              <w:t>12台/月</w:t>
            </w:r>
          </w:p>
        </w:tc>
        <w:tc>
          <w:tcPr>
            <w:tcW w:w="4860" w:type="dxa"/>
            <w:tcMar>
              <w:top w:w="90" w:type="dxa"/>
              <w:left w:w="90" w:type="dxa"/>
              <w:bottom w:w="90" w:type="dxa"/>
              <w:right w:w="90" w:type="dxa"/>
            </w:tcMar>
            <w:vAlign w:val="center"/>
          </w:tcPr>
          <w:p w14:paraId="5E4D64CE">
            <w:pPr>
              <w:spacing w:after="0" w:line="276" w:lineRule="auto"/>
            </w:pPr>
            <w:r>
              <w:rPr>
                <w:rFonts w:ascii="微软雅黑" w:hAnsi="微软雅黑" w:eastAsia="微软雅黑"/>
                <w:color w:val="243041"/>
                <w:sz w:val="18"/>
              </w:rPr>
              <w:t>高于目标10台，计划达成率120.0%</w:t>
            </w:r>
          </w:p>
        </w:tc>
      </w:tr>
      <w:tr w14:paraId="6F3B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shd w:val="clear" w:color="auto" w:fill="F8FAFC"/>
            <w:tcMar>
              <w:top w:w="90" w:type="dxa"/>
              <w:left w:w="90" w:type="dxa"/>
              <w:bottom w:w="90" w:type="dxa"/>
              <w:right w:w="90" w:type="dxa"/>
            </w:tcMar>
            <w:vAlign w:val="center"/>
          </w:tcPr>
          <w:p w14:paraId="32A0777B">
            <w:pPr>
              <w:spacing w:after="0" w:line="276" w:lineRule="auto"/>
            </w:pPr>
            <w:r>
              <w:rPr>
                <w:rFonts w:ascii="微软雅黑" w:hAnsi="微软雅黑" w:eastAsia="微软雅黑"/>
                <w:color w:val="243041"/>
                <w:sz w:val="18"/>
              </w:rPr>
              <w:t>周期</w:t>
            </w:r>
          </w:p>
        </w:tc>
        <w:tc>
          <w:tcPr>
            <w:tcW w:w="2900" w:type="dxa"/>
            <w:shd w:val="clear" w:color="auto" w:fill="F8FAFC"/>
            <w:tcMar>
              <w:top w:w="90" w:type="dxa"/>
              <w:left w:w="90" w:type="dxa"/>
              <w:bottom w:w="90" w:type="dxa"/>
              <w:right w:w="90" w:type="dxa"/>
            </w:tcMar>
            <w:vAlign w:val="center"/>
          </w:tcPr>
          <w:p w14:paraId="4C360E3A">
            <w:pPr>
              <w:spacing w:after="0" w:line="276" w:lineRule="auto"/>
            </w:pPr>
            <w:r>
              <w:rPr>
                <w:rFonts w:ascii="微软雅黑" w:hAnsi="微软雅黑" w:eastAsia="微软雅黑"/>
                <w:color w:val="243041"/>
                <w:sz w:val="18"/>
              </w:rPr>
              <w:t>平均69.1小时</w:t>
            </w:r>
          </w:p>
        </w:tc>
        <w:tc>
          <w:tcPr>
            <w:tcW w:w="4860" w:type="dxa"/>
            <w:shd w:val="clear" w:color="auto" w:fill="F8FAFC"/>
            <w:tcMar>
              <w:top w:w="90" w:type="dxa"/>
              <w:left w:w="90" w:type="dxa"/>
              <w:bottom w:w="90" w:type="dxa"/>
              <w:right w:w="90" w:type="dxa"/>
            </w:tcMar>
            <w:vAlign w:val="center"/>
          </w:tcPr>
          <w:p w14:paraId="2997846E">
            <w:pPr>
              <w:spacing w:after="0" w:line="276" w:lineRule="auto"/>
            </w:pPr>
            <w:r>
              <w:rPr>
                <w:rFonts w:ascii="微软雅黑" w:hAnsi="微软雅黑" w:eastAsia="微软雅黑"/>
                <w:color w:val="243041"/>
                <w:sz w:val="18"/>
              </w:rPr>
              <w:t>包含等待、工作、休息及资源争用影响</w:t>
            </w:r>
          </w:p>
        </w:tc>
      </w:tr>
      <w:tr w14:paraId="1C92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90" w:type="dxa"/>
              <w:left w:w="90" w:type="dxa"/>
              <w:bottom w:w="90" w:type="dxa"/>
              <w:right w:w="90" w:type="dxa"/>
            </w:tcMar>
            <w:vAlign w:val="center"/>
          </w:tcPr>
          <w:p w14:paraId="55ADF0F6">
            <w:pPr>
              <w:spacing w:after="0" w:line="276" w:lineRule="auto"/>
            </w:pPr>
            <w:r>
              <w:rPr>
                <w:rFonts w:ascii="微软雅黑" w:hAnsi="微软雅黑" w:eastAsia="微软雅黑"/>
                <w:color w:val="243041"/>
                <w:sz w:val="18"/>
              </w:rPr>
              <w:t>质量</w:t>
            </w:r>
          </w:p>
        </w:tc>
        <w:tc>
          <w:tcPr>
            <w:tcW w:w="2900" w:type="dxa"/>
            <w:tcMar>
              <w:top w:w="90" w:type="dxa"/>
              <w:left w:w="90" w:type="dxa"/>
              <w:bottom w:w="90" w:type="dxa"/>
              <w:right w:w="90" w:type="dxa"/>
            </w:tcMar>
            <w:vAlign w:val="center"/>
          </w:tcPr>
          <w:p w14:paraId="479651DB">
            <w:pPr>
              <w:spacing w:after="0" w:line="276" w:lineRule="auto"/>
            </w:pPr>
            <w:r>
              <w:rPr>
                <w:rFonts w:ascii="微软雅黑" w:hAnsi="微软雅黑" w:eastAsia="微软雅黑"/>
                <w:color w:val="243041"/>
                <w:sz w:val="18"/>
              </w:rPr>
              <w:t>一次通过率100.0%</w:t>
            </w:r>
          </w:p>
        </w:tc>
        <w:tc>
          <w:tcPr>
            <w:tcW w:w="4860" w:type="dxa"/>
            <w:tcMar>
              <w:top w:w="90" w:type="dxa"/>
              <w:left w:w="90" w:type="dxa"/>
              <w:bottom w:w="90" w:type="dxa"/>
              <w:right w:w="90" w:type="dxa"/>
            </w:tcMar>
            <w:vAlign w:val="center"/>
          </w:tcPr>
          <w:p w14:paraId="3D0E4B84">
            <w:pPr>
              <w:spacing w:after="0" w:line="276" w:lineRule="auto"/>
            </w:pPr>
            <w:r>
              <w:rPr>
                <w:rFonts w:ascii="微软雅黑" w:hAnsi="微软雅黑" w:eastAsia="微软雅黑"/>
                <w:color w:val="243041"/>
                <w:sz w:val="18"/>
              </w:rPr>
              <w:t>本次随机仿真未发生最终质量不通过</w:t>
            </w:r>
          </w:p>
        </w:tc>
      </w:tr>
      <w:tr w14:paraId="7E5A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shd w:val="clear" w:color="auto" w:fill="F8FAFC"/>
            <w:tcMar>
              <w:top w:w="90" w:type="dxa"/>
              <w:left w:w="90" w:type="dxa"/>
              <w:bottom w:w="90" w:type="dxa"/>
              <w:right w:w="90" w:type="dxa"/>
            </w:tcMar>
            <w:vAlign w:val="center"/>
          </w:tcPr>
          <w:p w14:paraId="3A759D64">
            <w:pPr>
              <w:spacing w:after="0" w:line="276" w:lineRule="auto"/>
            </w:pPr>
            <w:r>
              <w:rPr>
                <w:rFonts w:ascii="微软雅黑" w:hAnsi="微软雅黑" w:eastAsia="微软雅黑"/>
                <w:color w:val="243041"/>
                <w:sz w:val="18"/>
              </w:rPr>
              <w:t>人因</w:t>
            </w:r>
          </w:p>
        </w:tc>
        <w:tc>
          <w:tcPr>
            <w:tcW w:w="2900" w:type="dxa"/>
            <w:shd w:val="clear" w:color="auto" w:fill="F8FAFC"/>
            <w:tcMar>
              <w:top w:w="90" w:type="dxa"/>
              <w:left w:w="90" w:type="dxa"/>
              <w:bottom w:w="90" w:type="dxa"/>
              <w:right w:w="90" w:type="dxa"/>
            </w:tcMar>
            <w:vAlign w:val="center"/>
          </w:tcPr>
          <w:p w14:paraId="483C1881">
            <w:pPr>
              <w:spacing w:after="0" w:line="276" w:lineRule="auto"/>
            </w:pPr>
            <w:r>
              <w:rPr>
                <w:rFonts w:ascii="微软雅黑" w:hAnsi="微软雅黑" w:eastAsia="微软雅黑"/>
                <w:color w:val="243041"/>
                <w:sz w:val="18"/>
              </w:rPr>
              <w:t>总休息6080分钟，高强度暴露0次</w:t>
            </w:r>
          </w:p>
        </w:tc>
        <w:tc>
          <w:tcPr>
            <w:tcW w:w="4860" w:type="dxa"/>
            <w:shd w:val="clear" w:color="auto" w:fill="F8FAFC"/>
            <w:tcMar>
              <w:top w:w="90" w:type="dxa"/>
              <w:left w:w="90" w:type="dxa"/>
              <w:bottom w:w="90" w:type="dxa"/>
              <w:right w:w="90" w:type="dxa"/>
            </w:tcMar>
            <w:vAlign w:val="center"/>
          </w:tcPr>
          <w:p w14:paraId="6E0E5ECA">
            <w:pPr>
              <w:spacing w:after="0" w:line="276" w:lineRule="auto"/>
            </w:pPr>
            <w:r>
              <w:rPr>
                <w:rFonts w:ascii="微软雅黑" w:hAnsi="微软雅黑" w:eastAsia="微软雅黑"/>
                <w:color w:val="243041"/>
                <w:sz w:val="18"/>
              </w:rPr>
              <w:t>休息规则被执行，负荷阈值控制有效</w:t>
            </w:r>
          </w:p>
        </w:tc>
      </w:tr>
      <w:tr w14:paraId="7035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Mar>
              <w:top w:w="90" w:type="dxa"/>
              <w:left w:w="90" w:type="dxa"/>
              <w:bottom w:w="90" w:type="dxa"/>
              <w:right w:w="90" w:type="dxa"/>
            </w:tcMar>
            <w:vAlign w:val="center"/>
          </w:tcPr>
          <w:p w14:paraId="66A9F06A">
            <w:pPr>
              <w:spacing w:after="0" w:line="276" w:lineRule="auto"/>
            </w:pPr>
            <w:r>
              <w:rPr>
                <w:rFonts w:ascii="微软雅黑" w:hAnsi="微软雅黑" w:eastAsia="微软雅黑"/>
                <w:color w:val="243041"/>
                <w:sz w:val="18"/>
              </w:rPr>
              <w:t>瓶颈</w:t>
            </w:r>
          </w:p>
        </w:tc>
        <w:tc>
          <w:tcPr>
            <w:tcW w:w="2900" w:type="dxa"/>
            <w:tcMar>
              <w:top w:w="90" w:type="dxa"/>
              <w:left w:w="90" w:type="dxa"/>
              <w:bottom w:w="90" w:type="dxa"/>
              <w:right w:w="90" w:type="dxa"/>
            </w:tcMar>
            <w:vAlign w:val="center"/>
          </w:tcPr>
          <w:p w14:paraId="4C37522C">
            <w:pPr>
              <w:spacing w:after="0" w:line="276" w:lineRule="auto"/>
            </w:pPr>
            <w:r>
              <w:rPr>
                <w:rFonts w:ascii="微软雅黑" w:hAnsi="微软雅黑" w:eastAsia="微软雅黑"/>
                <w:color w:val="243041"/>
                <w:sz w:val="18"/>
              </w:rPr>
              <w:t>检测到26项等待瓶颈</w:t>
            </w:r>
          </w:p>
        </w:tc>
        <w:tc>
          <w:tcPr>
            <w:tcW w:w="4860" w:type="dxa"/>
            <w:tcMar>
              <w:top w:w="90" w:type="dxa"/>
              <w:left w:w="90" w:type="dxa"/>
              <w:bottom w:w="90" w:type="dxa"/>
              <w:right w:w="90" w:type="dxa"/>
            </w:tcMar>
            <w:vAlign w:val="center"/>
          </w:tcPr>
          <w:p w14:paraId="54A78371">
            <w:pPr>
              <w:spacing w:after="0" w:line="276" w:lineRule="auto"/>
            </w:pPr>
            <w:r>
              <w:rPr>
                <w:rFonts w:ascii="微软雅黑" w:hAnsi="微软雅黑" w:eastAsia="微软雅黑"/>
                <w:color w:val="243041"/>
                <w:sz w:val="18"/>
              </w:rPr>
              <w:t>用于定位任务、资源和工位的拥塞位置</w:t>
            </w:r>
          </w:p>
        </w:tc>
      </w:tr>
      <w:tr w14:paraId="29BF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shd w:val="clear" w:color="auto" w:fill="F8FAFC"/>
            <w:tcMar>
              <w:top w:w="90" w:type="dxa"/>
              <w:left w:w="90" w:type="dxa"/>
              <w:bottom w:w="90" w:type="dxa"/>
              <w:right w:w="90" w:type="dxa"/>
            </w:tcMar>
            <w:vAlign w:val="center"/>
          </w:tcPr>
          <w:p w14:paraId="343090E5">
            <w:pPr>
              <w:spacing w:after="0" w:line="276" w:lineRule="auto"/>
            </w:pPr>
            <w:r>
              <w:rPr>
                <w:rFonts w:ascii="微软雅黑" w:hAnsi="微软雅黑" w:eastAsia="微软雅黑"/>
                <w:color w:val="243041"/>
                <w:sz w:val="18"/>
              </w:rPr>
              <w:t>工位等待</w:t>
            </w:r>
          </w:p>
        </w:tc>
        <w:tc>
          <w:tcPr>
            <w:tcW w:w="2900" w:type="dxa"/>
            <w:shd w:val="clear" w:color="auto" w:fill="F8FAFC"/>
            <w:tcMar>
              <w:top w:w="90" w:type="dxa"/>
              <w:left w:w="90" w:type="dxa"/>
              <w:bottom w:w="90" w:type="dxa"/>
              <w:right w:w="90" w:type="dxa"/>
            </w:tcMar>
            <w:vAlign w:val="center"/>
          </w:tcPr>
          <w:p w14:paraId="7021BD4E">
            <w:pPr>
              <w:spacing w:after="0" w:line="276" w:lineRule="auto"/>
            </w:pPr>
            <w:r>
              <w:rPr>
                <w:rFonts w:ascii="微软雅黑" w:hAnsi="微软雅黑" w:eastAsia="微软雅黑"/>
                <w:color w:val="243041"/>
                <w:sz w:val="18"/>
              </w:rPr>
              <w:t>压气机模块约80.4小时，燃烧室约78.5小时等</w:t>
            </w:r>
          </w:p>
        </w:tc>
        <w:tc>
          <w:tcPr>
            <w:tcW w:w="4860" w:type="dxa"/>
            <w:shd w:val="clear" w:color="auto" w:fill="F8FAFC"/>
            <w:tcMar>
              <w:top w:w="90" w:type="dxa"/>
              <w:left w:w="90" w:type="dxa"/>
              <w:bottom w:w="90" w:type="dxa"/>
              <w:right w:w="90" w:type="dxa"/>
            </w:tcMar>
            <w:vAlign w:val="center"/>
          </w:tcPr>
          <w:p w14:paraId="6FD8279E">
            <w:pPr>
              <w:spacing w:after="0" w:line="276" w:lineRule="auto"/>
            </w:pPr>
            <w:r>
              <w:rPr>
                <w:rFonts w:ascii="微软雅黑" w:hAnsi="微软雅黑" w:eastAsia="微软雅黑"/>
                <w:color w:val="243041"/>
                <w:sz w:val="18"/>
              </w:rPr>
              <w:t>反映并行模块与共享资源造成的累计等待</w:t>
            </w:r>
          </w:p>
        </w:tc>
      </w:tr>
    </w:tbl>
    <w:p w14:paraId="20ACD502">
      <w:pPr>
        <w:spacing w:after="0"/>
      </w:pPr>
    </w:p>
    <w:tbl>
      <w:tblPr>
        <w:tblStyle w:val="34"/>
        <w:tblW w:w="0" w:type="auto"/>
        <w:jc w:val="center"/>
        <w:tblLayout w:type="fixed"/>
        <w:tblCellMar>
          <w:top w:w="0" w:type="dxa"/>
          <w:left w:w="108" w:type="dxa"/>
          <w:bottom w:w="0" w:type="dxa"/>
          <w:right w:w="108" w:type="dxa"/>
        </w:tblCellMar>
      </w:tblPr>
      <w:tblGrid>
        <w:gridCol w:w="4681"/>
        <w:gridCol w:w="4681"/>
      </w:tblGrid>
      <w:tr w14:paraId="1B96B17D">
        <w:tblPrEx>
          <w:tblCellMar>
            <w:top w:w="0" w:type="dxa"/>
            <w:left w:w="108" w:type="dxa"/>
            <w:bottom w:w="0" w:type="dxa"/>
            <w:right w:w="108" w:type="dxa"/>
          </w:tblCellMar>
        </w:tblPrEx>
        <w:trPr>
          <w:jc w:val="center"/>
        </w:trPr>
        <w:tc>
          <w:tcPr>
            <w:tcW w:w="130" w:type="dxa"/>
            <w:shd w:val="clear" w:color="auto" w:fill="16A3B6"/>
            <w:tcMar>
              <w:top w:w="0" w:type="dxa"/>
              <w:left w:w="0" w:type="dxa"/>
              <w:bottom w:w="0" w:type="dxa"/>
              <w:right w:w="0" w:type="dxa"/>
            </w:tcMar>
          </w:tcPr>
          <w:p w14:paraId="046670D5"/>
        </w:tc>
        <w:tc>
          <w:tcPr>
            <w:tcW w:w="9230" w:type="dxa"/>
            <w:shd w:val="clear" w:color="auto" w:fill="EAF4FA"/>
            <w:tcMar>
              <w:top w:w="120" w:type="dxa"/>
              <w:left w:w="180" w:type="dxa"/>
              <w:bottom w:w="120" w:type="dxa"/>
              <w:right w:w="180" w:type="dxa"/>
            </w:tcMar>
          </w:tcPr>
          <w:p w14:paraId="0844D5E9">
            <w:pPr>
              <w:spacing w:after="0"/>
            </w:pPr>
            <w:r>
              <w:rPr>
                <w:rFonts w:ascii="微软雅黑" w:hAnsi="微软雅黑" w:eastAsia="微软雅黑"/>
                <w:b/>
                <w:color w:val="17324D"/>
                <w:sz w:val="21"/>
              </w:rPr>
              <w:t xml:space="preserve">结果说明  </w:t>
            </w:r>
            <w:r>
              <w:rPr>
                <w:rFonts w:ascii="微软雅黑" w:hAnsi="微软雅黑" w:eastAsia="微软雅黑"/>
                <w:color w:val="243041"/>
                <w:sz w:val="21"/>
              </w:rPr>
              <w:t>离散事件仿真包含随机工时和概率事件，同一配置多次运行的个别数值可能略有变化；界面截图和本章数值对应本次补正材料制作时的真实运行结果。</w:t>
            </w:r>
          </w:p>
        </w:tc>
      </w:tr>
    </w:tbl>
    <w:p w14:paraId="367EF6F9">
      <w:pPr>
        <w:pStyle w:val="3"/>
        <w:keepNext/>
        <w:keepLines/>
      </w:pPr>
      <w:bookmarkStart w:id="66" w:name="_Toc3144"/>
      <w:r>
        <w:t>14 功能证据与申请表对应表</w:t>
      </w:r>
      <w:bookmarkEnd w:id="6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64A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00" w:type="dxa"/>
            <w:shd w:val="clear" w:color="auto" w:fill="17324D"/>
            <w:tcMar>
              <w:top w:w="90" w:type="dxa"/>
              <w:left w:w="90" w:type="dxa"/>
              <w:bottom w:w="90" w:type="dxa"/>
              <w:right w:w="90" w:type="dxa"/>
            </w:tcMar>
            <w:vAlign w:val="center"/>
          </w:tcPr>
          <w:p w14:paraId="3DAAAA55">
            <w:pPr>
              <w:spacing w:after="0"/>
              <w:jc w:val="center"/>
            </w:pPr>
            <w:r>
              <w:rPr>
                <w:rFonts w:ascii="微软雅黑" w:hAnsi="微软雅黑" w:eastAsia="微软雅黑"/>
                <w:b/>
                <w:color w:val="FFFFFF"/>
                <w:sz w:val="15"/>
              </w:rPr>
              <w:t>申请表主要功能/技术特点</w:t>
            </w:r>
          </w:p>
        </w:tc>
        <w:tc>
          <w:tcPr>
            <w:tcW w:w="1200" w:type="dxa"/>
            <w:shd w:val="clear" w:color="auto" w:fill="17324D"/>
            <w:tcMar>
              <w:top w:w="90" w:type="dxa"/>
              <w:left w:w="90" w:type="dxa"/>
              <w:bottom w:w="90" w:type="dxa"/>
              <w:right w:w="90" w:type="dxa"/>
            </w:tcMar>
            <w:vAlign w:val="center"/>
          </w:tcPr>
          <w:p w14:paraId="1752473A">
            <w:pPr>
              <w:spacing w:after="0"/>
              <w:jc w:val="center"/>
            </w:pPr>
            <w:r>
              <w:rPr>
                <w:rFonts w:ascii="微软雅黑" w:hAnsi="微软雅黑" w:eastAsia="微软雅黑"/>
                <w:b/>
                <w:color w:val="FFFFFF"/>
                <w:sz w:val="15"/>
              </w:rPr>
              <w:t>说明书章节</w:t>
            </w:r>
          </w:p>
        </w:tc>
        <w:tc>
          <w:tcPr>
            <w:tcW w:w="2100" w:type="dxa"/>
            <w:shd w:val="clear" w:color="auto" w:fill="17324D"/>
            <w:tcMar>
              <w:top w:w="90" w:type="dxa"/>
              <w:left w:w="90" w:type="dxa"/>
              <w:bottom w:w="90" w:type="dxa"/>
              <w:right w:w="90" w:type="dxa"/>
            </w:tcMar>
            <w:vAlign w:val="center"/>
          </w:tcPr>
          <w:p w14:paraId="69435BB1">
            <w:pPr>
              <w:spacing w:after="0"/>
              <w:jc w:val="center"/>
            </w:pPr>
            <w:r>
              <w:rPr>
                <w:rFonts w:ascii="微软雅黑" w:hAnsi="微软雅黑" w:eastAsia="微软雅黑"/>
                <w:b/>
                <w:color w:val="FFFFFF"/>
                <w:sz w:val="15"/>
              </w:rPr>
              <w:t>真实界面证据</w:t>
            </w:r>
          </w:p>
        </w:tc>
        <w:tc>
          <w:tcPr>
            <w:tcW w:w="3060" w:type="dxa"/>
            <w:shd w:val="clear" w:color="auto" w:fill="17324D"/>
            <w:tcMar>
              <w:top w:w="90" w:type="dxa"/>
              <w:left w:w="90" w:type="dxa"/>
              <w:bottom w:w="90" w:type="dxa"/>
              <w:right w:w="90" w:type="dxa"/>
            </w:tcMar>
            <w:vAlign w:val="center"/>
          </w:tcPr>
          <w:p w14:paraId="6BC7863C">
            <w:pPr>
              <w:spacing w:after="0"/>
              <w:jc w:val="center"/>
            </w:pPr>
            <w:r>
              <w:rPr>
                <w:rFonts w:ascii="微软雅黑" w:hAnsi="微软雅黑" w:eastAsia="微软雅黑"/>
                <w:b/>
                <w:color w:val="FFFFFF"/>
                <w:sz w:val="15"/>
              </w:rPr>
              <w:t>源程序证据</w:t>
            </w:r>
          </w:p>
        </w:tc>
      </w:tr>
      <w:tr w14:paraId="43A7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90" w:type="dxa"/>
              <w:left w:w="90" w:type="dxa"/>
              <w:bottom w:w="90" w:type="dxa"/>
              <w:right w:w="90" w:type="dxa"/>
            </w:tcMar>
            <w:vAlign w:val="center"/>
          </w:tcPr>
          <w:p w14:paraId="23D0C257">
            <w:pPr>
              <w:spacing w:after="0" w:line="276" w:lineRule="auto"/>
            </w:pPr>
            <w:r>
              <w:rPr>
                <w:rFonts w:ascii="微软雅黑" w:hAnsi="微软雅黑" w:eastAsia="微软雅黑"/>
                <w:color w:val="243041"/>
                <w:sz w:val="15"/>
              </w:rPr>
              <w:t>HTML5 Canvas 可视化流程编辑、五类节点、连线和属性编辑</w:t>
            </w:r>
          </w:p>
        </w:tc>
        <w:tc>
          <w:tcPr>
            <w:tcW w:w="1200" w:type="dxa"/>
            <w:tcMar>
              <w:top w:w="90" w:type="dxa"/>
              <w:left w:w="90" w:type="dxa"/>
              <w:bottom w:w="90" w:type="dxa"/>
              <w:right w:w="90" w:type="dxa"/>
            </w:tcMar>
            <w:vAlign w:val="center"/>
          </w:tcPr>
          <w:p w14:paraId="7B492FCA">
            <w:pPr>
              <w:spacing w:after="0" w:line="276" w:lineRule="auto"/>
            </w:pPr>
            <w:r>
              <w:rPr>
                <w:rFonts w:ascii="微软雅黑" w:hAnsi="微软雅黑" w:eastAsia="微软雅黑"/>
                <w:color w:val="243041"/>
                <w:sz w:val="15"/>
              </w:rPr>
              <w:t>第4章</w:t>
            </w:r>
          </w:p>
        </w:tc>
        <w:tc>
          <w:tcPr>
            <w:tcW w:w="2100" w:type="dxa"/>
            <w:tcMar>
              <w:top w:w="90" w:type="dxa"/>
              <w:left w:w="90" w:type="dxa"/>
              <w:bottom w:w="90" w:type="dxa"/>
              <w:right w:w="90" w:type="dxa"/>
            </w:tcMar>
            <w:vAlign w:val="center"/>
          </w:tcPr>
          <w:p w14:paraId="044DC7A2">
            <w:pPr>
              <w:spacing w:after="0" w:line="276" w:lineRule="auto"/>
            </w:pPr>
            <w:r>
              <w:rPr>
                <w:rFonts w:ascii="微软雅黑" w:hAnsi="微软雅黑" w:eastAsia="微软雅黑"/>
                <w:color w:val="243041"/>
                <w:sz w:val="15"/>
              </w:rPr>
              <w:t>图2-1、图4-1、图4-2</w:t>
            </w:r>
          </w:p>
        </w:tc>
        <w:tc>
          <w:tcPr>
            <w:tcW w:w="3060" w:type="dxa"/>
            <w:tcMar>
              <w:top w:w="90" w:type="dxa"/>
              <w:left w:w="90" w:type="dxa"/>
              <w:bottom w:w="90" w:type="dxa"/>
              <w:right w:w="90" w:type="dxa"/>
            </w:tcMar>
            <w:vAlign w:val="center"/>
          </w:tcPr>
          <w:p w14:paraId="7C0887C6">
            <w:pPr>
              <w:spacing w:after="0" w:line="276" w:lineRule="auto"/>
            </w:pPr>
            <w:r>
              <w:rPr>
                <w:rFonts w:ascii="微软雅黑" w:hAnsi="微软雅黑" w:eastAsia="微软雅黑"/>
                <w:color w:val="243041"/>
                <w:sz w:val="15"/>
              </w:rPr>
              <w:t>canvas.js、editor.js、layout.js</w:t>
            </w:r>
          </w:p>
        </w:tc>
      </w:tr>
      <w:tr w14:paraId="7E55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shd w:val="clear" w:color="auto" w:fill="F8FAFC"/>
            <w:tcMar>
              <w:top w:w="90" w:type="dxa"/>
              <w:left w:w="90" w:type="dxa"/>
              <w:bottom w:w="90" w:type="dxa"/>
              <w:right w:w="90" w:type="dxa"/>
            </w:tcMar>
            <w:vAlign w:val="center"/>
          </w:tcPr>
          <w:p w14:paraId="702E7C2B">
            <w:pPr>
              <w:spacing w:after="0" w:line="276" w:lineRule="auto"/>
            </w:pPr>
            <w:r>
              <w:rPr>
                <w:rFonts w:ascii="微软雅黑" w:hAnsi="微软雅黑" w:eastAsia="微软雅黑"/>
                <w:color w:val="243041"/>
                <w:sz w:val="15"/>
              </w:rPr>
              <w:t>排班、人员、设备容量、流水线、工位和疲劳规则配置</w:t>
            </w:r>
          </w:p>
        </w:tc>
        <w:tc>
          <w:tcPr>
            <w:tcW w:w="1200" w:type="dxa"/>
            <w:shd w:val="clear" w:color="auto" w:fill="F8FAFC"/>
            <w:tcMar>
              <w:top w:w="90" w:type="dxa"/>
              <w:left w:w="90" w:type="dxa"/>
              <w:bottom w:w="90" w:type="dxa"/>
              <w:right w:w="90" w:type="dxa"/>
            </w:tcMar>
            <w:vAlign w:val="center"/>
          </w:tcPr>
          <w:p w14:paraId="60317B64">
            <w:pPr>
              <w:spacing w:after="0" w:line="276" w:lineRule="auto"/>
            </w:pPr>
            <w:r>
              <w:rPr>
                <w:rFonts w:ascii="微软雅黑" w:hAnsi="微软雅黑" w:eastAsia="微软雅黑"/>
                <w:color w:val="243041"/>
                <w:sz w:val="15"/>
              </w:rPr>
              <w:t>第5章</w:t>
            </w:r>
          </w:p>
        </w:tc>
        <w:tc>
          <w:tcPr>
            <w:tcW w:w="2100" w:type="dxa"/>
            <w:shd w:val="clear" w:color="auto" w:fill="F8FAFC"/>
            <w:tcMar>
              <w:top w:w="90" w:type="dxa"/>
              <w:left w:w="90" w:type="dxa"/>
              <w:bottom w:w="90" w:type="dxa"/>
              <w:right w:w="90" w:type="dxa"/>
            </w:tcMar>
            <w:vAlign w:val="center"/>
          </w:tcPr>
          <w:p w14:paraId="1FE3E33B">
            <w:pPr>
              <w:spacing w:after="0" w:line="276" w:lineRule="auto"/>
            </w:pPr>
            <w:r>
              <w:rPr>
                <w:rFonts w:ascii="微软雅黑" w:hAnsi="微软雅黑" w:eastAsia="微软雅黑"/>
                <w:color w:val="243041"/>
                <w:sz w:val="15"/>
              </w:rPr>
              <w:t>图5-1</w:t>
            </w:r>
          </w:p>
        </w:tc>
        <w:tc>
          <w:tcPr>
            <w:tcW w:w="3060" w:type="dxa"/>
            <w:shd w:val="clear" w:color="auto" w:fill="F8FAFC"/>
            <w:tcMar>
              <w:top w:w="90" w:type="dxa"/>
              <w:left w:w="90" w:type="dxa"/>
              <w:bottom w:w="90" w:type="dxa"/>
              <w:right w:w="90" w:type="dxa"/>
            </w:tcMar>
            <w:vAlign w:val="center"/>
          </w:tcPr>
          <w:p w14:paraId="7DE12733">
            <w:pPr>
              <w:spacing w:after="0" w:line="276" w:lineRule="auto"/>
            </w:pPr>
            <w:r>
              <w:rPr>
                <w:rFonts w:ascii="微软雅黑" w:hAnsi="微软雅黑" w:eastAsia="微软雅黑"/>
                <w:color w:val="243041"/>
                <w:sz w:val="15"/>
              </w:rPr>
              <w:t>config.js、config.py、config_model.py</w:t>
            </w:r>
          </w:p>
        </w:tc>
      </w:tr>
      <w:tr w14:paraId="7CDC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90" w:type="dxa"/>
              <w:left w:w="90" w:type="dxa"/>
              <w:bottom w:w="90" w:type="dxa"/>
              <w:right w:w="90" w:type="dxa"/>
            </w:tcMar>
            <w:vAlign w:val="center"/>
          </w:tcPr>
          <w:p w14:paraId="0455346D">
            <w:pPr>
              <w:spacing w:after="0" w:line="276" w:lineRule="auto"/>
            </w:pPr>
            <w:r>
              <w:rPr>
                <w:rFonts w:ascii="微软雅黑" w:hAnsi="微软雅黑" w:eastAsia="微软雅黑"/>
                <w:color w:val="243041"/>
                <w:sz w:val="15"/>
              </w:rPr>
              <w:t>SimPy、DAG、资源受限调度、错峰投放、返工和状态机</w:t>
            </w:r>
          </w:p>
        </w:tc>
        <w:tc>
          <w:tcPr>
            <w:tcW w:w="1200" w:type="dxa"/>
            <w:tcMar>
              <w:top w:w="90" w:type="dxa"/>
              <w:left w:w="90" w:type="dxa"/>
              <w:bottom w:w="90" w:type="dxa"/>
              <w:right w:w="90" w:type="dxa"/>
            </w:tcMar>
            <w:vAlign w:val="center"/>
          </w:tcPr>
          <w:p w14:paraId="0695FA6E">
            <w:pPr>
              <w:spacing w:after="0" w:line="276" w:lineRule="auto"/>
            </w:pPr>
            <w:r>
              <w:rPr>
                <w:rFonts w:ascii="微软雅黑" w:hAnsi="微软雅黑" w:eastAsia="微软雅黑"/>
                <w:color w:val="243041"/>
                <w:sz w:val="15"/>
              </w:rPr>
              <w:t>第6章</w:t>
            </w:r>
          </w:p>
        </w:tc>
        <w:tc>
          <w:tcPr>
            <w:tcW w:w="2100" w:type="dxa"/>
            <w:tcMar>
              <w:top w:w="90" w:type="dxa"/>
              <w:left w:w="90" w:type="dxa"/>
              <w:bottom w:w="90" w:type="dxa"/>
              <w:right w:w="90" w:type="dxa"/>
            </w:tcMar>
            <w:vAlign w:val="center"/>
          </w:tcPr>
          <w:p w14:paraId="251838D1">
            <w:pPr>
              <w:spacing w:after="0" w:line="276" w:lineRule="auto"/>
            </w:pPr>
            <w:r>
              <w:rPr>
                <w:rFonts w:ascii="微软雅黑" w:hAnsi="微软雅黑" w:eastAsia="微软雅黑"/>
                <w:color w:val="243041"/>
                <w:sz w:val="15"/>
              </w:rPr>
              <w:t>图6-1</w:t>
            </w:r>
          </w:p>
        </w:tc>
        <w:tc>
          <w:tcPr>
            <w:tcW w:w="3060" w:type="dxa"/>
            <w:tcMar>
              <w:top w:w="90" w:type="dxa"/>
              <w:left w:w="90" w:type="dxa"/>
              <w:bottom w:w="90" w:type="dxa"/>
              <w:right w:w="90" w:type="dxa"/>
            </w:tcMar>
            <w:vAlign w:val="center"/>
          </w:tcPr>
          <w:p w14:paraId="1DDDEA7F">
            <w:pPr>
              <w:spacing w:after="0" w:line="276" w:lineRule="auto"/>
            </w:pPr>
            <w:r>
              <w:rPr>
                <w:rFonts w:ascii="微软雅黑" w:hAnsi="微软雅黑" w:eastAsia="微软雅黑"/>
                <w:color w:val="243041"/>
                <w:sz w:val="15"/>
              </w:rPr>
              <w:t>simulation_engine.py、dag_scheduler.py、task_executor.py</w:t>
            </w:r>
          </w:p>
        </w:tc>
      </w:tr>
      <w:tr w14:paraId="4DA4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shd w:val="clear" w:color="auto" w:fill="F8FAFC"/>
            <w:tcMar>
              <w:top w:w="90" w:type="dxa"/>
              <w:left w:w="90" w:type="dxa"/>
              <w:bottom w:w="90" w:type="dxa"/>
              <w:right w:w="90" w:type="dxa"/>
            </w:tcMar>
            <w:vAlign w:val="center"/>
          </w:tcPr>
          <w:p w14:paraId="253C8AF8">
            <w:pPr>
              <w:spacing w:after="0" w:line="276" w:lineRule="auto"/>
            </w:pPr>
            <w:r>
              <w:rPr>
                <w:rFonts w:ascii="微软雅黑" w:hAnsi="微软雅黑" w:eastAsia="微软雅黑"/>
                <w:color w:val="243041"/>
                <w:sz w:val="15"/>
              </w:rPr>
              <w:t>REBA 疲劳演化、时间休息和微休息</w:t>
            </w:r>
          </w:p>
        </w:tc>
        <w:tc>
          <w:tcPr>
            <w:tcW w:w="1200" w:type="dxa"/>
            <w:shd w:val="clear" w:color="auto" w:fill="F8FAFC"/>
            <w:tcMar>
              <w:top w:w="90" w:type="dxa"/>
              <w:left w:w="90" w:type="dxa"/>
              <w:bottom w:w="90" w:type="dxa"/>
              <w:right w:w="90" w:type="dxa"/>
            </w:tcMar>
            <w:vAlign w:val="center"/>
          </w:tcPr>
          <w:p w14:paraId="26BFC6FF">
            <w:pPr>
              <w:spacing w:after="0" w:line="276" w:lineRule="auto"/>
            </w:pPr>
            <w:r>
              <w:rPr>
                <w:rFonts w:ascii="微软雅黑" w:hAnsi="微软雅黑" w:eastAsia="微软雅黑"/>
                <w:color w:val="243041"/>
                <w:sz w:val="15"/>
              </w:rPr>
              <w:t>第7章</w:t>
            </w:r>
          </w:p>
        </w:tc>
        <w:tc>
          <w:tcPr>
            <w:tcW w:w="2100" w:type="dxa"/>
            <w:shd w:val="clear" w:color="auto" w:fill="F8FAFC"/>
            <w:tcMar>
              <w:top w:w="90" w:type="dxa"/>
              <w:left w:w="90" w:type="dxa"/>
              <w:bottom w:w="90" w:type="dxa"/>
              <w:right w:w="90" w:type="dxa"/>
            </w:tcMar>
            <w:vAlign w:val="center"/>
          </w:tcPr>
          <w:p w14:paraId="619EE5FA">
            <w:pPr>
              <w:spacing w:after="0" w:line="276" w:lineRule="auto"/>
            </w:pPr>
            <w:r>
              <w:rPr>
                <w:rFonts w:ascii="微软雅黑" w:hAnsi="微软雅黑" w:eastAsia="微软雅黑"/>
                <w:color w:val="243041"/>
                <w:sz w:val="15"/>
              </w:rPr>
              <w:t>图5-1、图8-2</w:t>
            </w:r>
          </w:p>
        </w:tc>
        <w:tc>
          <w:tcPr>
            <w:tcW w:w="3060" w:type="dxa"/>
            <w:shd w:val="clear" w:color="auto" w:fill="F8FAFC"/>
            <w:tcMar>
              <w:top w:w="90" w:type="dxa"/>
              <w:left w:w="90" w:type="dxa"/>
              <w:bottom w:w="90" w:type="dxa"/>
              <w:right w:w="90" w:type="dxa"/>
            </w:tcMar>
            <w:vAlign w:val="center"/>
          </w:tcPr>
          <w:p w14:paraId="564805FF">
            <w:pPr>
              <w:spacing w:after="0" w:line="276" w:lineRule="auto"/>
            </w:pPr>
            <w:r>
              <w:rPr>
                <w:rFonts w:ascii="微软雅黑" w:hAnsi="微软雅黑" w:eastAsia="微软雅黑"/>
                <w:color w:val="243041"/>
                <w:sz w:val="15"/>
              </w:rPr>
              <w:t>worker_pool.py、task_executor.py、worker_model.py</w:t>
            </w:r>
          </w:p>
        </w:tc>
      </w:tr>
      <w:tr w14:paraId="03D6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90" w:type="dxa"/>
              <w:left w:w="90" w:type="dxa"/>
              <w:bottom w:w="90" w:type="dxa"/>
              <w:right w:w="90" w:type="dxa"/>
            </w:tcMar>
            <w:vAlign w:val="center"/>
          </w:tcPr>
          <w:p w14:paraId="33284A3E">
            <w:pPr>
              <w:spacing w:after="0" w:line="276" w:lineRule="auto"/>
            </w:pPr>
            <w:r>
              <w:rPr>
                <w:rFonts w:ascii="微软雅黑" w:hAnsi="微软雅黑" w:eastAsia="微软雅黑"/>
                <w:color w:val="243041"/>
                <w:sz w:val="15"/>
              </w:rPr>
              <w:t>KPI、人因对比、利用率、疲劳曲线和质量统计</w:t>
            </w:r>
          </w:p>
        </w:tc>
        <w:tc>
          <w:tcPr>
            <w:tcW w:w="1200" w:type="dxa"/>
            <w:tcMar>
              <w:top w:w="90" w:type="dxa"/>
              <w:left w:w="90" w:type="dxa"/>
              <w:bottom w:w="90" w:type="dxa"/>
              <w:right w:w="90" w:type="dxa"/>
            </w:tcMar>
            <w:vAlign w:val="center"/>
          </w:tcPr>
          <w:p w14:paraId="2AB4CF70">
            <w:pPr>
              <w:spacing w:after="0" w:line="276" w:lineRule="auto"/>
            </w:pPr>
            <w:r>
              <w:rPr>
                <w:rFonts w:ascii="微软雅黑" w:hAnsi="微软雅黑" w:eastAsia="微软雅黑"/>
                <w:color w:val="243041"/>
                <w:sz w:val="15"/>
              </w:rPr>
              <w:t>第8章</w:t>
            </w:r>
          </w:p>
        </w:tc>
        <w:tc>
          <w:tcPr>
            <w:tcW w:w="2100" w:type="dxa"/>
            <w:tcMar>
              <w:top w:w="90" w:type="dxa"/>
              <w:left w:w="90" w:type="dxa"/>
              <w:bottom w:w="90" w:type="dxa"/>
              <w:right w:w="90" w:type="dxa"/>
            </w:tcMar>
            <w:vAlign w:val="center"/>
          </w:tcPr>
          <w:p w14:paraId="03FF8AD4">
            <w:pPr>
              <w:spacing w:after="0" w:line="276" w:lineRule="auto"/>
            </w:pPr>
            <w:r>
              <w:rPr>
                <w:rFonts w:ascii="微软雅黑" w:hAnsi="微软雅黑" w:eastAsia="微软雅黑"/>
                <w:color w:val="243041"/>
                <w:sz w:val="15"/>
              </w:rPr>
              <w:t>图8-1至图8-3</w:t>
            </w:r>
          </w:p>
        </w:tc>
        <w:tc>
          <w:tcPr>
            <w:tcW w:w="3060" w:type="dxa"/>
            <w:tcMar>
              <w:top w:w="90" w:type="dxa"/>
              <w:left w:w="90" w:type="dxa"/>
              <w:bottom w:w="90" w:type="dxa"/>
              <w:right w:w="90" w:type="dxa"/>
            </w:tcMar>
            <w:vAlign w:val="center"/>
          </w:tcPr>
          <w:p w14:paraId="1527F6CC">
            <w:pPr>
              <w:spacing w:after="0" w:line="276" w:lineRule="auto"/>
            </w:pPr>
            <w:r>
              <w:rPr>
                <w:rFonts w:ascii="微软雅黑" w:hAnsi="微软雅黑" w:eastAsia="微软雅黑"/>
                <w:color w:val="243041"/>
                <w:sz w:val="15"/>
              </w:rPr>
              <w:t>simulation.js、charts.js、statistics.py</w:t>
            </w:r>
          </w:p>
        </w:tc>
      </w:tr>
      <w:tr w14:paraId="4315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shd w:val="clear" w:color="auto" w:fill="F8FAFC"/>
            <w:tcMar>
              <w:top w:w="90" w:type="dxa"/>
              <w:left w:w="90" w:type="dxa"/>
              <w:bottom w:w="90" w:type="dxa"/>
              <w:right w:w="90" w:type="dxa"/>
            </w:tcMar>
            <w:vAlign w:val="center"/>
          </w:tcPr>
          <w:p w14:paraId="03233B88">
            <w:pPr>
              <w:spacing w:after="0" w:line="276" w:lineRule="auto"/>
            </w:pPr>
            <w:r>
              <w:rPr>
                <w:rFonts w:ascii="微软雅黑" w:hAnsi="微软雅黑" w:eastAsia="微软雅黑"/>
                <w:color w:val="243041"/>
                <w:sz w:val="15"/>
              </w:rPr>
              <w:t>瓶颈识别、改进建议、工位统计和流转矩阵</w:t>
            </w:r>
          </w:p>
        </w:tc>
        <w:tc>
          <w:tcPr>
            <w:tcW w:w="1200" w:type="dxa"/>
            <w:shd w:val="clear" w:color="auto" w:fill="F8FAFC"/>
            <w:tcMar>
              <w:top w:w="90" w:type="dxa"/>
              <w:left w:w="90" w:type="dxa"/>
              <w:bottom w:w="90" w:type="dxa"/>
              <w:right w:w="90" w:type="dxa"/>
            </w:tcMar>
            <w:vAlign w:val="center"/>
          </w:tcPr>
          <w:p w14:paraId="31884960">
            <w:pPr>
              <w:spacing w:after="0" w:line="276" w:lineRule="auto"/>
            </w:pPr>
            <w:r>
              <w:rPr>
                <w:rFonts w:ascii="微软雅黑" w:hAnsi="微软雅黑" w:eastAsia="微软雅黑"/>
                <w:color w:val="243041"/>
                <w:sz w:val="15"/>
              </w:rPr>
              <w:t>第8章</w:t>
            </w:r>
          </w:p>
        </w:tc>
        <w:tc>
          <w:tcPr>
            <w:tcW w:w="2100" w:type="dxa"/>
            <w:shd w:val="clear" w:color="auto" w:fill="F8FAFC"/>
            <w:tcMar>
              <w:top w:w="90" w:type="dxa"/>
              <w:left w:w="90" w:type="dxa"/>
              <w:bottom w:w="90" w:type="dxa"/>
              <w:right w:w="90" w:type="dxa"/>
            </w:tcMar>
            <w:vAlign w:val="center"/>
          </w:tcPr>
          <w:p w14:paraId="31506E4C">
            <w:pPr>
              <w:spacing w:after="0" w:line="276" w:lineRule="auto"/>
            </w:pPr>
            <w:r>
              <w:rPr>
                <w:rFonts w:ascii="微软雅黑" w:hAnsi="微软雅黑" w:eastAsia="微软雅黑"/>
                <w:color w:val="243041"/>
                <w:sz w:val="15"/>
              </w:rPr>
              <w:t>图8-3至图8-5</w:t>
            </w:r>
          </w:p>
        </w:tc>
        <w:tc>
          <w:tcPr>
            <w:tcW w:w="3060" w:type="dxa"/>
            <w:shd w:val="clear" w:color="auto" w:fill="F8FAFC"/>
            <w:tcMar>
              <w:top w:w="90" w:type="dxa"/>
              <w:left w:w="90" w:type="dxa"/>
              <w:bottom w:w="90" w:type="dxa"/>
              <w:right w:w="90" w:type="dxa"/>
            </w:tcMar>
            <w:vAlign w:val="center"/>
          </w:tcPr>
          <w:p w14:paraId="75495958">
            <w:pPr>
              <w:spacing w:after="0" w:line="276" w:lineRule="auto"/>
            </w:pPr>
            <w:r>
              <w:rPr>
                <w:rFonts w:ascii="微软雅黑" w:hAnsi="微软雅黑" w:eastAsia="微软雅黑"/>
                <w:color w:val="243041"/>
                <w:sz w:val="15"/>
              </w:rPr>
              <w:t>analysis.js、results.py、statistics.py</w:t>
            </w:r>
          </w:p>
        </w:tc>
      </w:tr>
      <w:tr w14:paraId="0C12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90" w:type="dxa"/>
              <w:left w:w="90" w:type="dxa"/>
              <w:bottom w:w="90" w:type="dxa"/>
              <w:right w:w="90" w:type="dxa"/>
            </w:tcMar>
            <w:vAlign w:val="center"/>
          </w:tcPr>
          <w:p w14:paraId="577AD318">
            <w:pPr>
              <w:spacing w:after="0" w:line="276" w:lineRule="auto"/>
            </w:pPr>
            <w:r>
              <w:rPr>
                <w:rFonts w:ascii="微软雅黑" w:hAnsi="微软雅黑" w:eastAsia="微软雅黑"/>
                <w:color w:val="243041"/>
                <w:sz w:val="15"/>
              </w:rPr>
              <w:t>发动机/工人甘特图和时间范围筛选</w:t>
            </w:r>
          </w:p>
        </w:tc>
        <w:tc>
          <w:tcPr>
            <w:tcW w:w="1200" w:type="dxa"/>
            <w:tcMar>
              <w:top w:w="90" w:type="dxa"/>
              <w:left w:w="90" w:type="dxa"/>
              <w:bottom w:w="90" w:type="dxa"/>
              <w:right w:w="90" w:type="dxa"/>
            </w:tcMar>
            <w:vAlign w:val="center"/>
          </w:tcPr>
          <w:p w14:paraId="54D2AF42">
            <w:pPr>
              <w:spacing w:after="0" w:line="276" w:lineRule="auto"/>
            </w:pPr>
            <w:r>
              <w:rPr>
                <w:rFonts w:ascii="微软雅黑" w:hAnsi="微软雅黑" w:eastAsia="微软雅黑"/>
                <w:color w:val="243041"/>
                <w:sz w:val="15"/>
              </w:rPr>
              <w:t>第9章</w:t>
            </w:r>
          </w:p>
        </w:tc>
        <w:tc>
          <w:tcPr>
            <w:tcW w:w="2100" w:type="dxa"/>
            <w:tcMar>
              <w:top w:w="90" w:type="dxa"/>
              <w:left w:w="90" w:type="dxa"/>
              <w:bottom w:w="90" w:type="dxa"/>
              <w:right w:w="90" w:type="dxa"/>
            </w:tcMar>
            <w:vAlign w:val="center"/>
          </w:tcPr>
          <w:p w14:paraId="2B2BDB3F">
            <w:pPr>
              <w:spacing w:after="0" w:line="276" w:lineRule="auto"/>
            </w:pPr>
            <w:r>
              <w:rPr>
                <w:rFonts w:ascii="微软雅黑" w:hAnsi="微软雅黑" w:eastAsia="微软雅黑"/>
                <w:color w:val="243041"/>
                <w:sz w:val="15"/>
              </w:rPr>
              <w:t>图9-1、图9-2</w:t>
            </w:r>
          </w:p>
        </w:tc>
        <w:tc>
          <w:tcPr>
            <w:tcW w:w="3060" w:type="dxa"/>
            <w:tcMar>
              <w:top w:w="90" w:type="dxa"/>
              <w:left w:w="90" w:type="dxa"/>
              <w:bottom w:w="90" w:type="dxa"/>
              <w:right w:w="90" w:type="dxa"/>
            </w:tcMar>
            <w:vAlign w:val="center"/>
          </w:tcPr>
          <w:p w14:paraId="5DAB240E">
            <w:pPr>
              <w:spacing w:after="0" w:line="276" w:lineRule="auto"/>
            </w:pPr>
            <w:r>
              <w:rPr>
                <w:rFonts w:ascii="微软雅黑" w:hAnsi="微软雅黑" w:eastAsia="微软雅黑"/>
                <w:color w:val="243041"/>
                <w:sz w:val="15"/>
              </w:rPr>
              <w:t>charts.js、gantt_model.py、results.py</w:t>
            </w:r>
          </w:p>
        </w:tc>
      </w:tr>
      <w:tr w14:paraId="0358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shd w:val="clear" w:color="auto" w:fill="F8FAFC"/>
            <w:tcMar>
              <w:top w:w="90" w:type="dxa"/>
              <w:left w:w="90" w:type="dxa"/>
              <w:bottom w:w="90" w:type="dxa"/>
              <w:right w:w="90" w:type="dxa"/>
            </w:tcMar>
            <w:vAlign w:val="center"/>
          </w:tcPr>
          <w:p w14:paraId="0E410ABC">
            <w:pPr>
              <w:spacing w:after="0" w:line="276" w:lineRule="auto"/>
            </w:pPr>
            <w:r>
              <w:rPr>
                <w:rFonts w:ascii="微软雅黑" w:hAnsi="微软雅黑" w:eastAsia="微软雅黑"/>
                <w:color w:val="243041"/>
                <w:sz w:val="15"/>
              </w:rPr>
              <w:t>CSV/JSON 导入导出和异步 REST 接口</w:t>
            </w:r>
          </w:p>
        </w:tc>
        <w:tc>
          <w:tcPr>
            <w:tcW w:w="1200" w:type="dxa"/>
            <w:shd w:val="clear" w:color="auto" w:fill="F8FAFC"/>
            <w:tcMar>
              <w:top w:w="90" w:type="dxa"/>
              <w:left w:w="90" w:type="dxa"/>
              <w:bottom w:w="90" w:type="dxa"/>
              <w:right w:w="90" w:type="dxa"/>
            </w:tcMar>
            <w:vAlign w:val="center"/>
          </w:tcPr>
          <w:p w14:paraId="55A56E45">
            <w:pPr>
              <w:spacing w:after="0" w:line="276" w:lineRule="auto"/>
            </w:pPr>
            <w:r>
              <w:rPr>
                <w:rFonts w:ascii="微软雅黑" w:hAnsi="微软雅黑" w:eastAsia="微软雅黑"/>
                <w:color w:val="243041"/>
                <w:sz w:val="15"/>
              </w:rPr>
              <w:t>第10章</w:t>
            </w:r>
          </w:p>
        </w:tc>
        <w:tc>
          <w:tcPr>
            <w:tcW w:w="2100" w:type="dxa"/>
            <w:shd w:val="clear" w:color="auto" w:fill="F8FAFC"/>
            <w:tcMar>
              <w:top w:w="90" w:type="dxa"/>
              <w:left w:w="90" w:type="dxa"/>
              <w:bottom w:w="90" w:type="dxa"/>
              <w:right w:w="90" w:type="dxa"/>
            </w:tcMar>
            <w:vAlign w:val="center"/>
          </w:tcPr>
          <w:p w14:paraId="7EFE3F89">
            <w:pPr>
              <w:spacing w:after="0" w:line="276" w:lineRule="auto"/>
            </w:pPr>
            <w:r>
              <w:rPr>
                <w:rFonts w:ascii="微软雅黑" w:hAnsi="微软雅黑" w:eastAsia="微软雅黑"/>
                <w:color w:val="243041"/>
                <w:sz w:val="15"/>
              </w:rPr>
              <w:t>图10-1、图6-1</w:t>
            </w:r>
          </w:p>
        </w:tc>
        <w:tc>
          <w:tcPr>
            <w:tcW w:w="3060" w:type="dxa"/>
            <w:shd w:val="clear" w:color="auto" w:fill="F8FAFC"/>
            <w:tcMar>
              <w:top w:w="90" w:type="dxa"/>
              <w:left w:w="90" w:type="dxa"/>
              <w:bottom w:w="90" w:type="dxa"/>
              <w:right w:w="90" w:type="dxa"/>
            </w:tcMar>
            <w:vAlign w:val="center"/>
          </w:tcPr>
          <w:p w14:paraId="2FFD5540">
            <w:pPr>
              <w:spacing w:after="0" w:line="276" w:lineRule="auto"/>
            </w:pPr>
            <w:r>
              <w:rPr>
                <w:rFonts w:ascii="微软雅黑" w:hAnsi="微软雅黑" w:eastAsia="微软雅黑"/>
                <w:color w:val="243041"/>
                <w:sz w:val="15"/>
              </w:rPr>
              <w:t>csv.js、process.py、simulation.py、results.py</w:t>
            </w:r>
          </w:p>
        </w:tc>
      </w:tr>
      <w:tr w14:paraId="23FB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Mar>
              <w:top w:w="90" w:type="dxa"/>
              <w:left w:w="90" w:type="dxa"/>
              <w:bottom w:w="90" w:type="dxa"/>
              <w:right w:w="90" w:type="dxa"/>
            </w:tcMar>
            <w:vAlign w:val="center"/>
          </w:tcPr>
          <w:p w14:paraId="61FD186E">
            <w:pPr>
              <w:spacing w:after="0" w:line="276" w:lineRule="auto"/>
            </w:pPr>
            <w:r>
              <w:rPr>
                <w:rFonts w:ascii="微软雅黑" w:hAnsi="微软雅黑" w:eastAsia="微软雅黑"/>
                <w:color w:val="243041"/>
                <w:sz w:val="15"/>
              </w:rPr>
              <w:t>原生 JS + FastAPI 的 B/S 架构及跨平台访问</w:t>
            </w:r>
          </w:p>
        </w:tc>
        <w:tc>
          <w:tcPr>
            <w:tcW w:w="1200" w:type="dxa"/>
            <w:tcMar>
              <w:top w:w="90" w:type="dxa"/>
              <w:left w:w="90" w:type="dxa"/>
              <w:bottom w:w="90" w:type="dxa"/>
              <w:right w:w="90" w:type="dxa"/>
            </w:tcMar>
            <w:vAlign w:val="center"/>
          </w:tcPr>
          <w:p w14:paraId="2E6C0A02">
            <w:pPr>
              <w:spacing w:after="0" w:line="276" w:lineRule="auto"/>
            </w:pPr>
            <w:r>
              <w:rPr>
                <w:rFonts w:ascii="微软雅黑" w:hAnsi="微软雅黑" w:eastAsia="微软雅黑"/>
                <w:color w:val="243041"/>
                <w:sz w:val="15"/>
              </w:rPr>
              <w:t>第11章</w:t>
            </w:r>
          </w:p>
        </w:tc>
        <w:tc>
          <w:tcPr>
            <w:tcW w:w="2100" w:type="dxa"/>
            <w:tcMar>
              <w:top w:w="90" w:type="dxa"/>
              <w:left w:w="90" w:type="dxa"/>
              <w:bottom w:w="90" w:type="dxa"/>
              <w:right w:w="90" w:type="dxa"/>
            </w:tcMar>
            <w:vAlign w:val="center"/>
          </w:tcPr>
          <w:p w14:paraId="6D45E27B">
            <w:pPr>
              <w:spacing w:after="0" w:line="276" w:lineRule="auto"/>
            </w:pPr>
            <w:r>
              <w:rPr>
                <w:rFonts w:ascii="微软雅黑" w:hAnsi="微软雅黑" w:eastAsia="微软雅黑"/>
                <w:color w:val="243041"/>
                <w:sz w:val="15"/>
              </w:rPr>
              <w:t>图2-1、图10-1</w:t>
            </w:r>
          </w:p>
        </w:tc>
        <w:tc>
          <w:tcPr>
            <w:tcW w:w="3060" w:type="dxa"/>
            <w:tcMar>
              <w:top w:w="90" w:type="dxa"/>
              <w:left w:w="90" w:type="dxa"/>
              <w:bottom w:w="90" w:type="dxa"/>
              <w:right w:w="90" w:type="dxa"/>
            </w:tcMar>
            <w:vAlign w:val="center"/>
          </w:tcPr>
          <w:p w14:paraId="28B86C39">
            <w:pPr>
              <w:spacing w:after="0" w:line="276" w:lineRule="auto"/>
            </w:pPr>
            <w:r>
              <w:rPr>
                <w:rFonts w:ascii="微软雅黑" w:hAnsi="微软雅黑" w:eastAsia="微软雅黑"/>
                <w:color w:val="243041"/>
                <w:sz w:val="15"/>
              </w:rPr>
              <w:t>frontend/*、app/main.py、app/api/*</w:t>
            </w:r>
          </w:p>
        </w:tc>
      </w:tr>
    </w:tbl>
    <w:p w14:paraId="507F01D6">
      <w:pPr>
        <w:spacing w:after="0"/>
      </w:pPr>
    </w:p>
    <w:p w14:paraId="573AA5F2">
      <w:pPr>
        <w:pStyle w:val="4"/>
        <w:keepNext/>
        <w:keepLines/>
      </w:pPr>
      <w:bookmarkStart w:id="67" w:name="_Toc25263"/>
      <w:r>
        <w:t>14.1 文档鉴别材料自检</w:t>
      </w:r>
      <w:bookmarkEnd w:id="6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81"/>
      </w:tblGrid>
      <w:tr w14:paraId="751A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0" w:type="dxa"/>
            <w:shd w:val="clear" w:color="auto" w:fill="17324D"/>
            <w:tcMar>
              <w:top w:w="90" w:type="dxa"/>
              <w:left w:w="90" w:type="dxa"/>
              <w:bottom w:w="90" w:type="dxa"/>
              <w:right w:w="90" w:type="dxa"/>
            </w:tcMar>
            <w:vAlign w:val="center"/>
          </w:tcPr>
          <w:p w14:paraId="065E65A5">
            <w:pPr>
              <w:spacing w:after="0"/>
              <w:jc w:val="center"/>
            </w:pPr>
            <w:r>
              <w:rPr>
                <w:rFonts w:ascii="微软雅黑" w:hAnsi="微软雅黑" w:eastAsia="微软雅黑"/>
                <w:b/>
                <w:color w:val="FFFFFF"/>
                <w:sz w:val="18"/>
              </w:rPr>
              <w:t>检查项</w:t>
            </w:r>
          </w:p>
        </w:tc>
        <w:tc>
          <w:tcPr>
            <w:tcW w:w="6760" w:type="dxa"/>
            <w:shd w:val="clear" w:color="auto" w:fill="17324D"/>
            <w:tcMar>
              <w:top w:w="90" w:type="dxa"/>
              <w:left w:w="90" w:type="dxa"/>
              <w:bottom w:w="90" w:type="dxa"/>
              <w:right w:w="90" w:type="dxa"/>
            </w:tcMar>
            <w:vAlign w:val="center"/>
          </w:tcPr>
          <w:p w14:paraId="73818F96">
            <w:pPr>
              <w:spacing w:after="0"/>
              <w:jc w:val="center"/>
            </w:pPr>
            <w:r>
              <w:rPr>
                <w:rFonts w:ascii="微软雅黑" w:hAnsi="微软雅黑" w:eastAsia="微软雅黑"/>
                <w:b/>
                <w:color w:val="FFFFFF"/>
                <w:sz w:val="18"/>
              </w:rPr>
              <w:t>自检结果</w:t>
            </w:r>
          </w:p>
        </w:tc>
      </w:tr>
      <w:tr w14:paraId="2239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Mar>
              <w:top w:w="90" w:type="dxa"/>
              <w:left w:w="90" w:type="dxa"/>
              <w:bottom w:w="90" w:type="dxa"/>
              <w:right w:w="90" w:type="dxa"/>
            </w:tcMar>
            <w:vAlign w:val="center"/>
          </w:tcPr>
          <w:p w14:paraId="68A77C54">
            <w:pPr>
              <w:spacing w:after="0" w:line="276" w:lineRule="auto"/>
            </w:pPr>
            <w:r>
              <w:rPr>
                <w:rFonts w:ascii="微软雅黑" w:hAnsi="微软雅黑" w:eastAsia="微软雅黑"/>
                <w:color w:val="243041"/>
                <w:sz w:val="18"/>
              </w:rPr>
              <w:t>软件名称和版本一致</w:t>
            </w:r>
          </w:p>
        </w:tc>
        <w:tc>
          <w:tcPr>
            <w:tcW w:w="6760" w:type="dxa"/>
            <w:tcMar>
              <w:top w:w="90" w:type="dxa"/>
              <w:left w:w="90" w:type="dxa"/>
              <w:bottom w:w="90" w:type="dxa"/>
              <w:right w:w="90" w:type="dxa"/>
            </w:tcMar>
            <w:vAlign w:val="center"/>
          </w:tcPr>
          <w:p w14:paraId="1BC11C6A">
            <w:pPr>
              <w:spacing w:after="0" w:line="276" w:lineRule="auto"/>
            </w:pPr>
            <w:r>
              <w:rPr>
                <w:rFonts w:ascii="微软雅黑" w:hAnsi="微软雅黑" w:eastAsia="微软雅黑"/>
                <w:color w:val="243041"/>
                <w:sz w:val="18"/>
              </w:rPr>
              <w:t>通过：全文统一为“航空发动机装配排产仿真系统 V1.0”</w:t>
            </w:r>
          </w:p>
        </w:tc>
      </w:tr>
      <w:tr w14:paraId="4C5C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shd w:val="clear" w:color="auto" w:fill="F8FAFC"/>
            <w:tcMar>
              <w:top w:w="90" w:type="dxa"/>
              <w:left w:w="90" w:type="dxa"/>
              <w:bottom w:w="90" w:type="dxa"/>
              <w:right w:w="90" w:type="dxa"/>
            </w:tcMar>
            <w:vAlign w:val="center"/>
          </w:tcPr>
          <w:p w14:paraId="0531C77F">
            <w:pPr>
              <w:spacing w:after="0" w:line="276" w:lineRule="auto"/>
            </w:pPr>
            <w:r>
              <w:rPr>
                <w:rFonts w:ascii="微软雅黑" w:hAnsi="微软雅黑" w:eastAsia="微软雅黑"/>
                <w:color w:val="243041"/>
                <w:sz w:val="18"/>
              </w:rPr>
              <w:t>主要功能完整</w:t>
            </w:r>
          </w:p>
        </w:tc>
        <w:tc>
          <w:tcPr>
            <w:tcW w:w="6760" w:type="dxa"/>
            <w:shd w:val="clear" w:color="auto" w:fill="F8FAFC"/>
            <w:tcMar>
              <w:top w:w="90" w:type="dxa"/>
              <w:left w:w="90" w:type="dxa"/>
              <w:bottom w:w="90" w:type="dxa"/>
              <w:right w:w="90" w:type="dxa"/>
            </w:tcMar>
            <w:vAlign w:val="center"/>
          </w:tcPr>
          <w:p w14:paraId="57F5AE90">
            <w:pPr>
              <w:spacing w:after="0" w:line="276" w:lineRule="auto"/>
            </w:pPr>
            <w:r>
              <w:rPr>
                <w:rFonts w:ascii="微软雅黑" w:hAnsi="微软雅黑" w:eastAsia="微软雅黑"/>
                <w:color w:val="243041"/>
                <w:sz w:val="18"/>
              </w:rPr>
              <w:t>通过：申请表五大功能均有详细说明、步骤、界面和源程序映射</w:t>
            </w:r>
          </w:p>
        </w:tc>
      </w:tr>
      <w:tr w14:paraId="2349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Mar>
              <w:top w:w="90" w:type="dxa"/>
              <w:left w:w="90" w:type="dxa"/>
              <w:bottom w:w="90" w:type="dxa"/>
              <w:right w:w="90" w:type="dxa"/>
            </w:tcMar>
            <w:vAlign w:val="center"/>
          </w:tcPr>
          <w:p w14:paraId="6A87CFD6">
            <w:pPr>
              <w:spacing w:after="0" w:line="276" w:lineRule="auto"/>
            </w:pPr>
            <w:r>
              <w:rPr>
                <w:rFonts w:ascii="微软雅黑" w:hAnsi="微软雅黑" w:eastAsia="微软雅黑"/>
                <w:color w:val="243041"/>
                <w:sz w:val="18"/>
              </w:rPr>
              <w:t>连贯使用流程</w:t>
            </w:r>
          </w:p>
        </w:tc>
        <w:tc>
          <w:tcPr>
            <w:tcW w:w="6760" w:type="dxa"/>
            <w:tcMar>
              <w:top w:w="90" w:type="dxa"/>
              <w:left w:w="90" w:type="dxa"/>
              <w:bottom w:w="90" w:type="dxa"/>
              <w:right w:w="90" w:type="dxa"/>
            </w:tcMar>
            <w:vAlign w:val="center"/>
          </w:tcPr>
          <w:p w14:paraId="44E4EAED">
            <w:pPr>
              <w:spacing w:after="0" w:line="276" w:lineRule="auto"/>
            </w:pPr>
            <w:r>
              <w:rPr>
                <w:rFonts w:ascii="微软雅黑" w:hAnsi="微软雅黑" w:eastAsia="微软雅黑"/>
                <w:color w:val="243041"/>
                <w:sz w:val="18"/>
              </w:rPr>
              <w:t>通过：第3章和第13章展示从建模到导出的完整流程</w:t>
            </w:r>
          </w:p>
        </w:tc>
      </w:tr>
      <w:tr w14:paraId="3248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shd w:val="clear" w:color="auto" w:fill="F8FAFC"/>
            <w:tcMar>
              <w:top w:w="90" w:type="dxa"/>
              <w:left w:w="90" w:type="dxa"/>
              <w:bottom w:w="90" w:type="dxa"/>
              <w:right w:w="90" w:type="dxa"/>
            </w:tcMar>
            <w:vAlign w:val="center"/>
          </w:tcPr>
          <w:p w14:paraId="6202FA99">
            <w:pPr>
              <w:spacing w:after="0" w:line="276" w:lineRule="auto"/>
            </w:pPr>
            <w:r>
              <w:rPr>
                <w:rFonts w:ascii="微软雅黑" w:hAnsi="微软雅黑" w:eastAsia="微软雅黑"/>
                <w:color w:val="243041"/>
                <w:sz w:val="18"/>
              </w:rPr>
              <w:t>真实运行界面</w:t>
            </w:r>
          </w:p>
        </w:tc>
        <w:tc>
          <w:tcPr>
            <w:tcW w:w="6760" w:type="dxa"/>
            <w:shd w:val="clear" w:color="auto" w:fill="F8FAFC"/>
            <w:tcMar>
              <w:top w:w="90" w:type="dxa"/>
              <w:left w:w="90" w:type="dxa"/>
              <w:bottom w:w="90" w:type="dxa"/>
              <w:right w:w="90" w:type="dxa"/>
            </w:tcMar>
            <w:vAlign w:val="center"/>
          </w:tcPr>
          <w:p w14:paraId="533A6B31">
            <w:pPr>
              <w:spacing w:after="0" w:line="276" w:lineRule="auto"/>
            </w:pPr>
            <w:r>
              <w:rPr>
                <w:rFonts w:ascii="微软雅黑" w:hAnsi="微软雅黑" w:eastAsia="微软雅黑"/>
                <w:color w:val="243041"/>
                <w:sz w:val="18"/>
              </w:rPr>
              <w:t>通过：除图4-1节点属性弹窗为待补占位外，其余界面均来自本次真实运行</w:t>
            </w:r>
          </w:p>
        </w:tc>
      </w:tr>
      <w:tr w14:paraId="211F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Mar>
              <w:top w:w="90" w:type="dxa"/>
              <w:left w:w="90" w:type="dxa"/>
              <w:bottom w:w="90" w:type="dxa"/>
              <w:right w:w="90" w:type="dxa"/>
            </w:tcMar>
            <w:vAlign w:val="center"/>
          </w:tcPr>
          <w:p w14:paraId="4250493E">
            <w:pPr>
              <w:spacing w:after="0" w:line="276" w:lineRule="auto"/>
            </w:pPr>
            <w:r>
              <w:rPr>
                <w:rFonts w:ascii="微软雅黑" w:hAnsi="微软雅黑" w:eastAsia="微软雅黑"/>
                <w:color w:val="243041"/>
                <w:sz w:val="18"/>
              </w:rPr>
              <w:t>技术特点一致</w:t>
            </w:r>
          </w:p>
        </w:tc>
        <w:tc>
          <w:tcPr>
            <w:tcW w:w="6760" w:type="dxa"/>
            <w:tcMar>
              <w:top w:w="90" w:type="dxa"/>
              <w:left w:w="90" w:type="dxa"/>
              <w:bottom w:w="90" w:type="dxa"/>
              <w:right w:w="90" w:type="dxa"/>
            </w:tcMar>
            <w:vAlign w:val="center"/>
          </w:tcPr>
          <w:p w14:paraId="41FED498">
            <w:pPr>
              <w:spacing w:after="0" w:line="276" w:lineRule="auto"/>
            </w:pPr>
            <w:r>
              <w:rPr>
                <w:rFonts w:ascii="微软雅黑" w:hAnsi="微软雅黑" w:eastAsia="微软雅黑"/>
                <w:color w:val="243041"/>
                <w:sz w:val="18"/>
              </w:rPr>
              <w:t>通过：B/S、原生JS、FastAPI、SimPy、DAG、REBA、异步接口和跨平台均有说明</w:t>
            </w:r>
          </w:p>
        </w:tc>
      </w:tr>
      <w:tr w14:paraId="42DE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shd w:val="clear" w:color="auto" w:fill="F8FAFC"/>
            <w:tcMar>
              <w:top w:w="90" w:type="dxa"/>
              <w:left w:w="90" w:type="dxa"/>
              <w:bottom w:w="90" w:type="dxa"/>
              <w:right w:w="90" w:type="dxa"/>
            </w:tcMar>
            <w:vAlign w:val="center"/>
          </w:tcPr>
          <w:p w14:paraId="6260CC37">
            <w:pPr>
              <w:spacing w:after="0" w:line="276" w:lineRule="auto"/>
            </w:pPr>
            <w:r>
              <w:rPr>
                <w:rFonts w:ascii="微软雅黑" w:hAnsi="微软雅黑" w:eastAsia="微软雅黑"/>
                <w:color w:val="243041"/>
                <w:sz w:val="18"/>
              </w:rPr>
              <w:t>页眉页脚和页码</w:t>
            </w:r>
          </w:p>
        </w:tc>
        <w:tc>
          <w:tcPr>
            <w:tcW w:w="6760" w:type="dxa"/>
            <w:shd w:val="clear" w:color="auto" w:fill="F8FAFC"/>
            <w:tcMar>
              <w:top w:w="90" w:type="dxa"/>
              <w:left w:w="90" w:type="dxa"/>
              <w:bottom w:w="90" w:type="dxa"/>
              <w:right w:w="90" w:type="dxa"/>
            </w:tcMar>
            <w:vAlign w:val="center"/>
          </w:tcPr>
          <w:p w14:paraId="7E9059B2">
            <w:pPr>
              <w:spacing w:after="0" w:line="276" w:lineRule="auto"/>
            </w:pPr>
            <w:r>
              <w:rPr>
                <w:rFonts w:ascii="微软雅黑" w:hAnsi="微软雅黑" w:eastAsia="微软雅黑"/>
                <w:color w:val="243041"/>
                <w:sz w:val="18"/>
              </w:rPr>
              <w:t>通过：正文页眉含软件全称和版本，页脚含连续页码</w:t>
            </w:r>
          </w:p>
        </w:tc>
      </w:tr>
      <w:tr w14:paraId="7A6C8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Mar>
              <w:top w:w="90" w:type="dxa"/>
              <w:left w:w="90" w:type="dxa"/>
              <w:bottom w:w="90" w:type="dxa"/>
              <w:right w:w="90" w:type="dxa"/>
            </w:tcMar>
            <w:vAlign w:val="center"/>
          </w:tcPr>
          <w:p w14:paraId="2D2A8304">
            <w:pPr>
              <w:spacing w:after="0" w:line="276" w:lineRule="auto"/>
            </w:pPr>
            <w:r>
              <w:rPr>
                <w:rFonts w:ascii="微软雅黑" w:hAnsi="微软雅黑" w:eastAsia="微软雅黑"/>
                <w:color w:val="243041"/>
                <w:sz w:val="18"/>
              </w:rPr>
              <w:t>提交前人工动作</w:t>
            </w:r>
          </w:p>
        </w:tc>
        <w:tc>
          <w:tcPr>
            <w:tcW w:w="6760" w:type="dxa"/>
            <w:tcMar>
              <w:top w:w="90" w:type="dxa"/>
              <w:left w:w="90" w:type="dxa"/>
              <w:bottom w:w="90" w:type="dxa"/>
              <w:right w:w="90" w:type="dxa"/>
            </w:tcMar>
            <w:vAlign w:val="center"/>
          </w:tcPr>
          <w:p w14:paraId="51FFE32D">
            <w:pPr>
              <w:spacing w:after="0" w:line="276" w:lineRule="auto"/>
            </w:pPr>
            <w:r>
              <w:rPr>
                <w:rFonts w:ascii="微软雅黑" w:hAnsi="微软雅黑" w:eastAsia="微软雅黑"/>
                <w:color w:val="243041"/>
                <w:sz w:val="18"/>
              </w:rPr>
              <w:t>请替换图4-1占位图；更新目录；确认申请人信息和申请表中的名称/版本完全一致</w:t>
            </w:r>
          </w:p>
        </w:tc>
      </w:tr>
    </w:tbl>
    <w:p w14:paraId="4A421D75">
      <w:pPr>
        <w:spacing w:after="0"/>
      </w:pPr>
    </w:p>
    <w:p w14:paraId="65D424EE">
      <w:pPr>
        <w:pStyle w:val="4"/>
        <w:keepNext/>
        <w:keepLines/>
      </w:pPr>
      <w:bookmarkStart w:id="68" w:name="_Toc674"/>
      <w:r>
        <w:t>14.2 术语和缩写</w:t>
      </w:r>
      <w:bookmarkEnd w:id="6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4681"/>
      </w:tblGrid>
      <w:tr w14:paraId="4745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90" w:type="dxa"/>
              <w:left w:w="90" w:type="dxa"/>
              <w:bottom w:w="90" w:type="dxa"/>
              <w:right w:w="90" w:type="dxa"/>
            </w:tcMar>
            <w:vAlign w:val="center"/>
          </w:tcPr>
          <w:p w14:paraId="258A6547">
            <w:pPr>
              <w:spacing w:after="0"/>
              <w:jc w:val="center"/>
            </w:pPr>
            <w:r>
              <w:rPr>
                <w:rFonts w:ascii="微软雅黑" w:hAnsi="微软雅黑" w:eastAsia="微软雅黑"/>
                <w:b/>
                <w:color w:val="FFFFFF"/>
                <w:sz w:val="17"/>
              </w:rPr>
              <w:t>术语</w:t>
            </w:r>
          </w:p>
        </w:tc>
        <w:tc>
          <w:tcPr>
            <w:tcW w:w="7560" w:type="dxa"/>
            <w:shd w:val="clear" w:color="auto" w:fill="17324D"/>
            <w:tcMar>
              <w:top w:w="90" w:type="dxa"/>
              <w:left w:w="90" w:type="dxa"/>
              <w:bottom w:w="90" w:type="dxa"/>
              <w:right w:w="90" w:type="dxa"/>
            </w:tcMar>
            <w:vAlign w:val="center"/>
          </w:tcPr>
          <w:p w14:paraId="7E165E1B">
            <w:pPr>
              <w:spacing w:after="0"/>
              <w:jc w:val="center"/>
            </w:pPr>
            <w:r>
              <w:rPr>
                <w:rFonts w:ascii="微软雅黑" w:hAnsi="微软雅黑" w:eastAsia="微软雅黑"/>
                <w:b/>
                <w:color w:val="FFFFFF"/>
                <w:sz w:val="17"/>
              </w:rPr>
              <w:t>含义</w:t>
            </w:r>
          </w:p>
        </w:tc>
      </w:tr>
      <w:tr w14:paraId="53B8C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0D9CF1D9">
            <w:pPr>
              <w:spacing w:after="0" w:line="276" w:lineRule="auto"/>
            </w:pPr>
            <w:r>
              <w:rPr>
                <w:rFonts w:ascii="微软雅黑" w:hAnsi="微软雅黑" w:eastAsia="微软雅黑"/>
                <w:color w:val="243041"/>
                <w:sz w:val="17"/>
              </w:rPr>
              <w:t>B/S</w:t>
            </w:r>
          </w:p>
        </w:tc>
        <w:tc>
          <w:tcPr>
            <w:tcW w:w="7560" w:type="dxa"/>
            <w:tcMar>
              <w:top w:w="90" w:type="dxa"/>
              <w:left w:w="90" w:type="dxa"/>
              <w:bottom w:w="90" w:type="dxa"/>
              <w:right w:w="90" w:type="dxa"/>
            </w:tcMar>
            <w:vAlign w:val="center"/>
          </w:tcPr>
          <w:p w14:paraId="46BCD935">
            <w:pPr>
              <w:spacing w:after="0" w:line="276" w:lineRule="auto"/>
            </w:pPr>
            <w:r>
              <w:rPr>
                <w:rFonts w:ascii="微软雅黑" w:hAnsi="微软雅黑" w:eastAsia="微软雅黑"/>
                <w:color w:val="243041"/>
                <w:sz w:val="17"/>
              </w:rPr>
              <w:t>Browser/Server，浏览器/服务器架构</w:t>
            </w:r>
          </w:p>
        </w:tc>
      </w:tr>
      <w:tr w14:paraId="2109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098A9C06">
            <w:pPr>
              <w:spacing w:after="0" w:line="276" w:lineRule="auto"/>
            </w:pPr>
            <w:r>
              <w:rPr>
                <w:rFonts w:ascii="微软雅黑" w:hAnsi="微软雅黑" w:eastAsia="微软雅黑"/>
                <w:color w:val="243041"/>
                <w:sz w:val="17"/>
              </w:rPr>
              <w:t>DES</w:t>
            </w:r>
          </w:p>
        </w:tc>
        <w:tc>
          <w:tcPr>
            <w:tcW w:w="7560" w:type="dxa"/>
            <w:shd w:val="clear" w:color="auto" w:fill="F8FAFC"/>
            <w:tcMar>
              <w:top w:w="90" w:type="dxa"/>
              <w:left w:w="90" w:type="dxa"/>
              <w:bottom w:w="90" w:type="dxa"/>
              <w:right w:w="90" w:type="dxa"/>
            </w:tcMar>
            <w:vAlign w:val="center"/>
          </w:tcPr>
          <w:p w14:paraId="60B2E219">
            <w:pPr>
              <w:spacing w:after="0" w:line="276" w:lineRule="auto"/>
            </w:pPr>
            <w:r>
              <w:rPr>
                <w:rFonts w:ascii="微软雅黑" w:hAnsi="微软雅黑" w:eastAsia="微软雅黑"/>
                <w:color w:val="243041"/>
                <w:sz w:val="17"/>
              </w:rPr>
              <w:t>Discrete Event Simulation，离散事件仿真</w:t>
            </w:r>
          </w:p>
        </w:tc>
      </w:tr>
      <w:tr w14:paraId="0654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34BD85D1">
            <w:pPr>
              <w:spacing w:after="0" w:line="276" w:lineRule="auto"/>
            </w:pPr>
            <w:r>
              <w:rPr>
                <w:rFonts w:ascii="微软雅黑" w:hAnsi="微软雅黑" w:eastAsia="微软雅黑"/>
                <w:color w:val="243041"/>
                <w:sz w:val="17"/>
              </w:rPr>
              <w:t>DAG</w:t>
            </w:r>
          </w:p>
        </w:tc>
        <w:tc>
          <w:tcPr>
            <w:tcW w:w="7560" w:type="dxa"/>
            <w:tcMar>
              <w:top w:w="90" w:type="dxa"/>
              <w:left w:w="90" w:type="dxa"/>
              <w:bottom w:w="90" w:type="dxa"/>
              <w:right w:w="90" w:type="dxa"/>
            </w:tcMar>
            <w:vAlign w:val="center"/>
          </w:tcPr>
          <w:p w14:paraId="7E7C353B">
            <w:pPr>
              <w:spacing w:after="0" w:line="276" w:lineRule="auto"/>
            </w:pPr>
            <w:r>
              <w:rPr>
                <w:rFonts w:ascii="微软雅黑" w:hAnsi="微软雅黑" w:eastAsia="微软雅黑"/>
                <w:color w:val="243041"/>
                <w:sz w:val="17"/>
              </w:rPr>
              <w:t>Directed Acyclic Graph，有向无环图，用于表达工序先后关系</w:t>
            </w:r>
          </w:p>
        </w:tc>
      </w:tr>
      <w:tr w14:paraId="7EE3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3C96D3D6">
            <w:pPr>
              <w:spacing w:after="0" w:line="276" w:lineRule="auto"/>
            </w:pPr>
            <w:r>
              <w:rPr>
                <w:rFonts w:ascii="微软雅黑" w:hAnsi="微软雅黑" w:eastAsia="微软雅黑"/>
                <w:color w:val="243041"/>
                <w:sz w:val="17"/>
              </w:rPr>
              <w:t>RCPSP</w:t>
            </w:r>
          </w:p>
        </w:tc>
        <w:tc>
          <w:tcPr>
            <w:tcW w:w="7560" w:type="dxa"/>
            <w:shd w:val="clear" w:color="auto" w:fill="F8FAFC"/>
            <w:tcMar>
              <w:top w:w="90" w:type="dxa"/>
              <w:left w:w="90" w:type="dxa"/>
              <w:bottom w:w="90" w:type="dxa"/>
              <w:right w:w="90" w:type="dxa"/>
            </w:tcMar>
            <w:vAlign w:val="center"/>
          </w:tcPr>
          <w:p w14:paraId="76628EC1">
            <w:pPr>
              <w:spacing w:after="0" w:line="276" w:lineRule="auto"/>
            </w:pPr>
            <w:r>
              <w:rPr>
                <w:rFonts w:ascii="微软雅黑" w:hAnsi="微软雅黑" w:eastAsia="微软雅黑"/>
                <w:color w:val="243041"/>
                <w:sz w:val="17"/>
              </w:rPr>
              <w:t>Resource-Constrained Project Scheduling Problem，资源受限项目调度问题</w:t>
            </w:r>
          </w:p>
        </w:tc>
      </w:tr>
      <w:tr w14:paraId="3623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18E7C168">
            <w:pPr>
              <w:spacing w:after="0" w:line="276" w:lineRule="auto"/>
            </w:pPr>
            <w:r>
              <w:rPr>
                <w:rFonts w:ascii="微软雅黑" w:hAnsi="微软雅黑" w:eastAsia="微软雅黑"/>
                <w:color w:val="243041"/>
                <w:sz w:val="17"/>
              </w:rPr>
              <w:t>REBA</w:t>
            </w:r>
          </w:p>
        </w:tc>
        <w:tc>
          <w:tcPr>
            <w:tcW w:w="7560" w:type="dxa"/>
            <w:tcMar>
              <w:top w:w="90" w:type="dxa"/>
              <w:left w:w="90" w:type="dxa"/>
              <w:bottom w:w="90" w:type="dxa"/>
              <w:right w:w="90" w:type="dxa"/>
            </w:tcMar>
            <w:vAlign w:val="center"/>
          </w:tcPr>
          <w:p w14:paraId="1E6FB857">
            <w:pPr>
              <w:spacing w:after="0" w:line="276" w:lineRule="auto"/>
            </w:pPr>
            <w:r>
              <w:rPr>
                <w:rFonts w:ascii="微软雅黑" w:hAnsi="微软雅黑" w:eastAsia="微软雅黑"/>
                <w:color w:val="243041"/>
                <w:sz w:val="17"/>
              </w:rPr>
              <w:t>Rapid Entire Body Assessment，用于描述人体工学负荷的评分方法</w:t>
            </w:r>
          </w:p>
        </w:tc>
      </w:tr>
      <w:tr w14:paraId="16DD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13EBD745">
            <w:pPr>
              <w:spacing w:after="0" w:line="276" w:lineRule="auto"/>
            </w:pPr>
            <w:r>
              <w:rPr>
                <w:rFonts w:ascii="微软雅黑" w:hAnsi="微软雅黑" w:eastAsia="微软雅黑"/>
                <w:color w:val="243041"/>
                <w:sz w:val="17"/>
              </w:rPr>
              <w:t>KPI</w:t>
            </w:r>
          </w:p>
        </w:tc>
        <w:tc>
          <w:tcPr>
            <w:tcW w:w="7560" w:type="dxa"/>
            <w:shd w:val="clear" w:color="auto" w:fill="F8FAFC"/>
            <w:tcMar>
              <w:top w:w="90" w:type="dxa"/>
              <w:left w:w="90" w:type="dxa"/>
              <w:bottom w:w="90" w:type="dxa"/>
              <w:right w:w="90" w:type="dxa"/>
            </w:tcMar>
            <w:vAlign w:val="center"/>
          </w:tcPr>
          <w:p w14:paraId="1E2C1589">
            <w:pPr>
              <w:spacing w:after="0" w:line="276" w:lineRule="auto"/>
            </w:pPr>
            <w:r>
              <w:rPr>
                <w:rFonts w:ascii="微软雅黑" w:hAnsi="微软雅黑" w:eastAsia="微软雅黑"/>
                <w:color w:val="243041"/>
                <w:sz w:val="17"/>
              </w:rPr>
              <w:t>Key Performance Indicator，关键绩效指标</w:t>
            </w:r>
          </w:p>
        </w:tc>
      </w:tr>
      <w:tr w14:paraId="7B2E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0314EF5F">
            <w:pPr>
              <w:spacing w:after="0" w:line="276" w:lineRule="auto"/>
            </w:pPr>
            <w:r>
              <w:rPr>
                <w:rFonts w:ascii="微软雅黑" w:hAnsi="微软雅黑" w:eastAsia="微软雅黑"/>
                <w:color w:val="243041"/>
                <w:sz w:val="17"/>
              </w:rPr>
              <w:t>FPY</w:t>
            </w:r>
          </w:p>
        </w:tc>
        <w:tc>
          <w:tcPr>
            <w:tcW w:w="7560" w:type="dxa"/>
            <w:tcMar>
              <w:top w:w="90" w:type="dxa"/>
              <w:left w:w="90" w:type="dxa"/>
              <w:bottom w:w="90" w:type="dxa"/>
              <w:right w:w="90" w:type="dxa"/>
            </w:tcMar>
            <w:vAlign w:val="center"/>
          </w:tcPr>
          <w:p w14:paraId="1A5948BD">
            <w:pPr>
              <w:spacing w:after="0" w:line="276" w:lineRule="auto"/>
            </w:pPr>
            <w:r>
              <w:rPr>
                <w:rFonts w:ascii="微软雅黑" w:hAnsi="微软雅黑" w:eastAsia="微软雅黑"/>
                <w:color w:val="243041"/>
                <w:sz w:val="17"/>
              </w:rPr>
              <w:t>First Pass Yield，一次通过率</w:t>
            </w:r>
          </w:p>
        </w:tc>
      </w:tr>
      <w:tr w14:paraId="0216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shd w:val="clear" w:color="auto" w:fill="F8FAFC"/>
            <w:tcMar>
              <w:top w:w="90" w:type="dxa"/>
              <w:left w:w="90" w:type="dxa"/>
              <w:bottom w:w="90" w:type="dxa"/>
              <w:right w:w="90" w:type="dxa"/>
            </w:tcMar>
            <w:vAlign w:val="center"/>
          </w:tcPr>
          <w:p w14:paraId="77C0E396">
            <w:pPr>
              <w:spacing w:after="0" w:line="276" w:lineRule="auto"/>
            </w:pPr>
            <w:r>
              <w:rPr>
                <w:rFonts w:ascii="微软雅黑" w:hAnsi="微软雅黑" w:eastAsia="微软雅黑"/>
                <w:color w:val="243041"/>
                <w:sz w:val="17"/>
              </w:rPr>
              <w:t>CSV</w:t>
            </w:r>
          </w:p>
        </w:tc>
        <w:tc>
          <w:tcPr>
            <w:tcW w:w="7560" w:type="dxa"/>
            <w:shd w:val="clear" w:color="auto" w:fill="F8FAFC"/>
            <w:tcMar>
              <w:top w:w="90" w:type="dxa"/>
              <w:left w:w="90" w:type="dxa"/>
              <w:bottom w:w="90" w:type="dxa"/>
              <w:right w:w="90" w:type="dxa"/>
            </w:tcMar>
            <w:vAlign w:val="center"/>
          </w:tcPr>
          <w:p w14:paraId="6BD8DE2A">
            <w:pPr>
              <w:spacing w:after="0" w:line="276" w:lineRule="auto"/>
            </w:pPr>
            <w:r>
              <w:rPr>
                <w:rFonts w:ascii="微软雅黑" w:hAnsi="微软雅黑" w:eastAsia="微软雅黑"/>
                <w:color w:val="243041"/>
                <w:sz w:val="17"/>
              </w:rPr>
              <w:t>Comma-Separated Values，用于工艺和甘特图数据交换的文本格式</w:t>
            </w:r>
          </w:p>
        </w:tc>
      </w:tr>
      <w:tr w14:paraId="2A86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90" w:type="dxa"/>
              <w:left w:w="90" w:type="dxa"/>
              <w:bottom w:w="90" w:type="dxa"/>
              <w:right w:w="90" w:type="dxa"/>
            </w:tcMar>
            <w:vAlign w:val="center"/>
          </w:tcPr>
          <w:p w14:paraId="129938FA">
            <w:pPr>
              <w:spacing w:after="0" w:line="276" w:lineRule="auto"/>
            </w:pPr>
            <w:r>
              <w:rPr>
                <w:rFonts w:ascii="微软雅黑" w:hAnsi="微软雅黑" w:eastAsia="微软雅黑"/>
                <w:color w:val="243041"/>
                <w:sz w:val="17"/>
              </w:rPr>
              <w:t>JSON</w:t>
            </w:r>
          </w:p>
        </w:tc>
        <w:tc>
          <w:tcPr>
            <w:tcW w:w="7560" w:type="dxa"/>
            <w:tcMar>
              <w:top w:w="90" w:type="dxa"/>
              <w:left w:w="90" w:type="dxa"/>
              <w:bottom w:w="90" w:type="dxa"/>
              <w:right w:w="90" w:type="dxa"/>
            </w:tcMar>
            <w:vAlign w:val="center"/>
          </w:tcPr>
          <w:p w14:paraId="5B703095">
            <w:pPr>
              <w:spacing w:after="0" w:line="276" w:lineRule="auto"/>
            </w:pPr>
            <w:r>
              <w:rPr>
                <w:rFonts w:ascii="微软雅黑" w:hAnsi="微软雅黑" w:eastAsia="微软雅黑"/>
                <w:color w:val="243041"/>
                <w:sz w:val="17"/>
              </w:rPr>
              <w:t>JavaScript Object Notation，用于接口请求、结果和完整报告的结构化格式</w:t>
            </w:r>
          </w:p>
        </w:tc>
      </w:tr>
    </w:tbl>
    <w:p w14:paraId="51331E91">
      <w:pPr>
        <w:spacing w:after="0"/>
      </w:pPr>
    </w:p>
    <w:p w14:paraId="40EB78F1">
      <w:pPr>
        <w:pStyle w:val="16"/>
        <w:numPr>
          <w:numId w:val="0"/>
        </w:numPr>
        <w:spacing w:after="40" w:line="288" w:lineRule="auto"/>
      </w:pPr>
    </w:p>
    <w:sectPr>
      <w:headerReference r:id="rId5" w:type="default"/>
      <w:footerReference r:id="rId6" w:type="default"/>
      <w:pgSz w:w="11906" w:h="16838"/>
      <w:pgMar w:top="1123" w:right="1272" w:bottom="1037" w:left="1272" w:header="369" w:footer="31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BB4EB">
    <w:pPr>
      <w:pStyle w:val="24"/>
      <w:spacing w:after="0"/>
      <w:jc w:val="center"/>
    </w:pPr>
    <w:r>
      <w:rPr>
        <w:rFonts w:ascii="微软雅黑" w:hAnsi="微软雅黑" w:eastAsia="微软雅黑"/>
        <w:color w:val="5B6675"/>
        <w:sz w:val="17"/>
      </w:rPr>
      <w:t xml:space="preserve">航空发动机装配排产仿真系统 V1.0  ·  第 </w:t>
    </w:r>
    <w:r>
      <w:fldChar w:fldCharType="begin"/>
    </w:r>
    <w:r>
      <w:instrText xml:space="preserve">PAGE</w:instrText>
    </w:r>
    <w:r>
      <w:fldChar w:fldCharType="separate"/>
    </w:r>
    <w:r>
      <w:t>1</w:t>
    </w:r>
    <w:r>
      <w:fldChar w:fldCharType="end"/>
    </w:r>
    <w:r>
      <w:rPr>
        <w:rFonts w:ascii="微软雅黑" w:hAnsi="微软雅黑" w:eastAsia="微软雅黑"/>
        <w:color w:val="5B6675"/>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B6FCF">
    <w:pPr>
      <w:pStyle w:val="25"/>
      <w:spacing w:after="0"/>
      <w:jc w:val="right"/>
    </w:pPr>
    <w:r>
      <w:rPr>
        <w:rFonts w:ascii="微软雅黑" w:hAnsi="微软雅黑" w:eastAsia="微软雅黑"/>
        <w:color w:val="5B6675"/>
        <w:sz w:val="17"/>
      </w:rPr>
      <w:t>航空发动机装配排产仿真系统 V1.0  |  软件说明书（补正提交版）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DA53FB"/>
    <w:rsid w:val="709477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24" w:lineRule="auto"/>
    </w:pPr>
    <w:rPr>
      <w:rFonts w:ascii="微软雅黑" w:hAnsi="微软雅黑" w:eastAsia="微软雅黑" w:cstheme="minorBidi"/>
      <w:color w:val="243041"/>
      <w:sz w:val="22"/>
      <w:szCs w:val="22"/>
      <w:lang w:val="en-US" w:eastAsia="en-US" w:bidi="ar-SA"/>
    </w:rPr>
  </w:style>
  <w:style w:type="paragraph" w:styleId="3">
    <w:name w:val="heading 1"/>
    <w:basedOn w:val="1"/>
    <w:next w:val="1"/>
    <w:link w:val="140"/>
    <w:qFormat/>
    <w:uiPriority w:val="9"/>
    <w:pPr>
      <w:keepNext/>
      <w:keepLines/>
      <w:pageBreakBefore/>
      <w:spacing w:before="240" w:after="120"/>
      <w:outlineLvl w:val="0"/>
    </w:pPr>
    <w:rPr>
      <w:rFonts w:asciiTheme="majorHAnsi" w:hAnsiTheme="majorHAnsi" w:eastAsiaTheme="majorEastAsia" w:cstheme="majorBidi"/>
      <w:b/>
      <w:bCs/>
      <w:color w:val="17324D"/>
      <w:sz w:val="36"/>
      <w:szCs w:val="28"/>
    </w:rPr>
  </w:style>
  <w:style w:type="paragraph" w:styleId="4">
    <w:name w:val="heading 2"/>
    <w:basedOn w:val="1"/>
    <w:next w:val="1"/>
    <w:link w:val="141"/>
    <w:unhideWhenUsed/>
    <w:qFormat/>
    <w:uiPriority w:val="9"/>
    <w:pPr>
      <w:keepNext/>
      <w:keepLines/>
      <w:spacing w:before="180" w:after="80"/>
      <w:outlineLvl w:val="1"/>
    </w:pPr>
    <w:rPr>
      <w:rFonts w:asciiTheme="majorHAnsi" w:hAnsiTheme="majorHAnsi" w:eastAsiaTheme="majorEastAsia" w:cstheme="majorBidi"/>
      <w:b/>
      <w:bCs/>
      <w:color w:val="1769AA"/>
      <w:sz w:val="28"/>
      <w:szCs w:val="26"/>
    </w:rPr>
  </w:style>
  <w:style w:type="paragraph" w:styleId="5">
    <w:name w:val="heading 3"/>
    <w:basedOn w:val="1"/>
    <w:next w:val="1"/>
    <w:link w:val="142"/>
    <w:unhideWhenUsed/>
    <w:qFormat/>
    <w:uiPriority w:val="9"/>
    <w:pPr>
      <w:keepNext/>
      <w:keepLines/>
      <w:spacing w:before="140" w:after="60"/>
      <w:outlineLvl w:val="2"/>
    </w:pPr>
    <w:rPr>
      <w:rFonts w:asciiTheme="majorHAnsi" w:hAnsiTheme="majorHAnsi" w:eastAsiaTheme="majorEastAsia" w:cstheme="majorBidi"/>
      <w:b/>
      <w:bCs/>
      <w:color w:val="243041"/>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pPr>
      <w:keepNext/>
      <w:spacing w:before="0" w:after="100"/>
    </w:pPr>
    <w:rPr>
      <w:rFonts w:asciiTheme="majorHAnsi" w:hAnsiTheme="majorHAnsi" w:eastAsiaTheme="majorEastAsia" w:cstheme="majorBidi"/>
      <w:b/>
      <w:i/>
      <w:iCs/>
      <w:color w:val="5B6675"/>
      <w:spacing w:val="15"/>
      <w:sz w:val="26"/>
      <w:szCs w:val="24"/>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7324D"/>
      <w:spacing w:val="5"/>
      <w:kern w:val="28"/>
      <w:sz w:val="56"/>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webp"/><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10665</Words>
  <Characters>13487</Characters>
  <Lines>0</Lines>
  <Paragraphs>0</Paragraphs>
  <TotalTime>9</TotalTime>
  <ScaleCrop>false</ScaleCrop>
  <LinksUpToDate>false</LinksUpToDate>
  <CharactersWithSpaces>14019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肖俊鹏</dc:creator>
  <cp:keywords>软件著作权, 文档鉴别材料, 航空发动机装配, 排产仿真</cp:keywords>
  <cp:lastModifiedBy>肖俊鹏</cp:lastModifiedBy>
  <dcterms:modified xsi:type="dcterms:W3CDTF">2026-08-03T02:11:32Z</dcterms:modified>
  <dc:subject>计算机软件著作权登记文档鉴别材料</dc:subject>
  <dc:title>航空发动机装配排产仿真系统 V1.0 软件说明书（补正提交版）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8D095FEF9195444998B3DF462F067958_12</vt:lpwstr>
  </property>
  <property fmtid="{D5CDD505-2E9C-101B-9397-08002B2CF9AE}" pid="4" name="KSOTemplateDocerSaveRecord">
    <vt:lpwstr>eyJoZGlkIjoiZTBlZGZjODdmNThlZGRkMDFlNTMwMDg5M2NmN2M2OTEiLCJ1c2VySWQiOiIxNjE1OTQxMjM3In0=</vt:lpwstr>
  </property>
</Properties>
</file>