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Calibri" w:hAnsi="Calibri"/>
          <w:b/>
          <w:i w:val="0"/>
          <w:color w:val="0B2545"/>
          <w:sz w:val="46"/>
        </w:rPr>
        <w:t>TASK20 VC-CSA 探索实验</w:t>
      </w:r>
    </w:p>
    <w:p>
      <w:pPr>
        <w:spacing w:after="320"/>
      </w:pPr>
      <w:r>
        <w:rPr>
          <w:rFonts w:ascii="Calibri" w:hAnsi="Calibri"/>
          <w:b w:val="0"/>
          <w:i w:val="0"/>
          <w:color w:val="1F4D78"/>
          <w:sz w:val="28"/>
        </w:rPr>
        <w:t>最终证据归档与论文可用性说明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>归档日期：</w:t>
      </w:r>
      <w:r>
        <w:rPr>
          <w:rFonts w:ascii="Calibri" w:hAnsi="Calibri"/>
          <w:b w:val="0"/>
          <w:i w:val="0"/>
          <w:color w:val="000000"/>
          <w:sz w:val="22"/>
        </w:rPr>
        <w:t>2026-07-31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>实验身份：</w:t>
      </w:r>
      <w:r>
        <w:rPr>
          <w:rFonts w:ascii="Calibri" w:hAnsi="Calibri"/>
          <w:b w:val="0"/>
          <w:i w:val="0"/>
          <w:color w:val="000000"/>
          <w:sz w:val="22"/>
        </w:rPr>
        <w:t>AUTHOR_ORIGINAL_SETTING_NON_T0_LEAKAGE_ACCEPTED_EXPLORATORY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>正式证据资格：</w:t>
      </w:r>
      <w:r>
        <w:rPr>
          <w:rFonts w:ascii="Calibri" w:hAnsi="Calibri"/>
          <w:b w:val="0"/>
          <w:i w:val="0"/>
          <w:color w:val="000000"/>
          <w:sz w:val="22"/>
        </w:rPr>
        <w:t>INELIGIBLE（不得用作 T0、G3、统一基线、任务50或论文性能结论）</w:t>
      </w:r>
    </w:p>
    <w:p>
      <w:pPr>
        <w:spacing w:after="40"/>
      </w:pPr>
      <w:r>
        <w:rPr>
          <w:rFonts w:ascii="Calibri" w:hAnsi="Calibri"/>
          <w:b/>
          <w:i w:val="0"/>
          <w:color w:val="0B2545"/>
          <w:sz w:val="22"/>
        </w:rPr>
        <w:t>训练状态：</w:t>
      </w:r>
      <w:r>
        <w:rPr>
          <w:rFonts w:ascii="Calibri" w:hAnsi="Calibri"/>
          <w:b w:val="0"/>
          <w:i w:val="0"/>
          <w:color w:val="000000"/>
          <w:sz w:val="22"/>
        </w:rPr>
        <w:t>唯一 seed=3407 已完成 120 个 epoch；训练与 SwanLab sidecar 均已正常退出</w:t>
      </w:r>
    </w:p>
    <w:p>
      <w:pPr>
        <w:spacing w:before="320" w:after="160"/>
      </w:pPr>
      <w:r>
        <w:rPr>
          <w:rFonts w:ascii="Calibri" w:hAnsi="Calibri"/>
          <w:b/>
          <w:i w:val="0"/>
          <w:color w:val="2E74B5"/>
          <w:sz w:val="32"/>
        </w:rPr>
        <w:t>一、已持久保存的材料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260"/>
        <w:gridCol w:w="3000"/>
      </w:tblGrid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类别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保存内容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B2545"/>
                <w:sz w:val="22"/>
              </w:rPr>
              <w:t>用途 / 状态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最终恢复点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last-resume.ckpt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已双重哈希核验；用于完成状态核验或必要时恢复。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冻结最佳权重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Epoch 116 权重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唯一保存的严格 best 权重；组合 dev micro-F1=1.375221。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原始指标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Epoch 4-120 loss 与 dev performance JSON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保留原始曲线和逐 epoch 指标，支持复核。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原始预测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Epoch 4-120 dev prediction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私有保存；可供内部重新汇总，不进入公开材料。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运行记录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主训练日志、log_run、TensorBoard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保留训练过程、学习率、异常诊断与可视化来源。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复现元数据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非秘密参数、seed、Python/pip/GPU 清单、输入哈希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用于环境与输入身份追溯；不包含数据正文。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完整性证据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epoch evidence、SHA256SUMS、最终 bundle manifest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逐文件 SHA-256 校验，文件权限 0600、目录权限 0700。</w:t>
            </w:r>
          </w:p>
        </w:tc>
      </w:tr>
      <w:tr>
        <w:tc>
          <w:tcPr>
            <w:tcW w:type="dxa" w:w="21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项目审计记录</w:t>
            </w:r>
          </w:p>
        </w:tc>
        <w:tc>
          <w:tcPr>
            <w:tcW w:type="dxa" w:w="426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WORK_LOG 与 main 提交 787da347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保存本地工作流、校验和归档动作的可追溯记录。</w:t>
            </w:r>
          </w:p>
        </w:tc>
      </w:tr>
    </w:tbl>
    <w:p>
      <w:pPr>
        <w:spacing w:before="320" w:after="160"/>
      </w:pPr>
      <w:r>
        <w:rPr>
          <w:rFonts w:ascii="Calibri" w:hAnsi="Calibri"/>
          <w:b/>
          <w:i w:val="0"/>
          <w:color w:val="2E74B5"/>
          <w:sz w:val="32"/>
        </w:rPr>
        <w:t>二、最终归档包的核验状态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私有 MatBox 最终证据包已原子发布：362 个受校验 payload 文件，约 401.9 MB。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目录权限为 0700、文件权限为 0600；发布后逐文件 SHA-256 重算通过。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最终 checkpoint SHA-256：cd16e7412eec8d3a255e5fa5bc46c8bc53b604c2fe5e22ae0600b8c064428978。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Epoch 116 冻结 best 权重 SHA-256：e5033f5dd35dcf02ae660a3af4139c4385d08fbdb1bc3958c7af50d4c6189771。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受限 I3D 仅以受控私有存储方式保留；本次核验 count=8210，未写入 Git 或本 Word 文档。</w:t>
      </w:r>
    </w:p>
    <w:p>
      <w:pPr>
        <w:spacing w:before="320" w:after="160"/>
      </w:pPr>
      <w:r>
        <w:rPr>
          <w:rFonts w:ascii="Calibri" w:hAnsi="Calibri"/>
          <w:b/>
          <w:i w:val="0"/>
          <w:color w:val="2E74B5"/>
          <w:sz w:val="32"/>
        </w:rPr>
        <w:t>三、明确未保存或未复制的内容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未将 I3D、评论正文、标签正文、凭据、端点或秘密链接写入最终证据包、Git 或 Word 文档。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未保存每个 epoch 的非 best 候选权重；这些文件不影响冻结模型选择规则的复核。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可重新下载的 wheel 缓存、临时压缩包和训练临时文件不属于长期证据。</w:t>
      </w:r>
    </w:p>
    <w:p>
      <w:pPr>
        <w:spacing w:before="320" w:after="160"/>
      </w:pPr>
      <w:r>
        <w:rPr>
          <w:rFonts w:ascii="Calibri" w:hAnsi="Calibri"/>
          <w:b/>
          <w:i w:val="0"/>
          <w:color w:val="2E74B5"/>
          <w:sz w:val="32"/>
        </w:rPr>
        <w:t>四、已知缺口与论文使用边界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Epoch 1-3 的原始 loss、dev metrics 与 dev prediction 在当前实例和 MatBox 中均不存在，已在最终 manifest 中记录，未伪造补齐。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该实验使用作者原设定，属于 NON_T0 且泄漏接受的探索路径；即使训练已完成，正式证据资格仍为 INELIGIBLE。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论文可以陈述“该探索运行完成并已审计”，但不得把上述数值写为 T0 主结果、G3 基线、统一基线或论文性能结论。</w:t>
      </w:r>
    </w:p>
    <w:p>
      <w:pPr>
        <w:pStyle w:val="ListBullet"/>
        <w:spacing w:after="80" w:line="280" w:lineRule="auto"/>
      </w:pPr>
      <w:r>
        <w:rPr>
          <w:rFonts w:ascii="Calibri" w:hAnsi="Calibri"/>
          <w:b w:val="0"/>
          <w:i w:val="0"/>
          <w:color w:val="000000"/>
          <w:sz w:val="22"/>
        </w:rPr>
        <w:t>I3D 许可、官方 revision 与权利方包身份/fixity 仍为 UNKNOWN；如固定 8210 覆盖或哈希漂移，应立即标记 ASSET_INVALIDATED_DO_NOT_REPORT。</w:t>
      </w:r>
    </w:p>
    <w:p>
      <w:pPr>
        <w:spacing w:before="320" w:after="160"/>
      </w:pPr>
      <w:r>
        <w:rPr>
          <w:rFonts w:ascii="Calibri" w:hAnsi="Calibri"/>
          <w:b/>
          <w:i w:val="0"/>
          <w:color w:val="2E74B5"/>
          <w:sz w:val="32"/>
        </w:rPr>
        <w:t>五、实例释放前的结论</w:t>
      </w:r>
    </w:p>
    <w:p>
      <w:pPr>
        <w:spacing w:after="120"/>
      </w:pPr>
      <w:r>
        <w:rPr>
          <w:rFonts w:ascii="Calibri" w:hAnsi="Calibri"/>
          <w:b/>
          <w:i w:val="0"/>
          <w:color w:val="0B2545"/>
          <w:sz w:val="22"/>
        </w:rPr>
        <w:t>结论：</w:t>
      </w:r>
      <w:r>
        <w:rPr>
          <w:rFonts w:ascii="Calibri" w:hAnsi="Calibri"/>
          <w:b w:val="0"/>
          <w:i w:val="0"/>
          <w:color w:val="000000"/>
          <w:sz w:val="22"/>
        </w:rPr>
        <w:t>现有证据已完成私有保存与完整性校验，训练实例可以释放。若希望未来快速重建，仅保留一个清理后的 4090 环境镜像；不必保存多个重复环境。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8"/>
      </w:rPr>
      <w:t>内部研究归档 | 非正式证据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66666"/>
        <w:sz w:val="18"/>
      </w:rPr>
      <w:t>Task20 | 私有实验归档说明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Task20 VC-CSA 探索实验最终证据归档说明</dc:title>
  <dc:subject>Private research archive; formal evidence ineligible</dc:subject>
  <dc:creator>20-M3 基线与统一评测 Codex</dc:creator>
  <cp:keywords/>
  <dc:description>不含受限数据、凭据、端点或评论正文。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