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Alex Morgan</w:t>
      </w:r>
    </w:p>
    <w:p>
      <w:pPr>
        <w:pStyle w:val="Contact"/>
      </w:pPr>
      <w:r>
        <w:t xml:space="preserve">alex.morgan@example.org  |  +1 (202) 555-0142  |  Portland, OR</w:t>
      </w:r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9792"/>
        </w:tabs>
      </w:pPr>
      <w:r>
        <w:t xml:space="preserve">Senior Software Engineer</w:t>
      </w:r>
      <w:r>
        <w:tab/>
      </w:r>
      <w:r>
        <w:t xml:space="preserve">2022–Present</w:t>
      </w:r>
    </w:p>
    <w:p>
      <w:pPr>
        <w:pStyle w:val="Subtitle"/>
      </w:pPr>
      <w:r>
        <w:t xml:space="preserve">Example Studio</w:t>
      </w:r>
    </w:p>
    <w:p>
      <w:pPr>
        <w:pStyle w:val="ListParagraph"/>
        <w:numPr>
          <w:ilvl w:val="0"/>
          <w:numId w:val="1"/>
        </w:numPr>
      </w:pPr>
      <w:r>
        <w:t xml:space="preserve">Led the development of accessible planning tools for cross-functional teams.</w:t>
      </w:r>
    </w:p>
    <w:p>
      <w:pPr>
        <w:pStyle w:val="ListParagraph"/>
        <w:numPr>
          <w:ilvl w:val="0"/>
          <w:numId w:val="1"/>
        </w:numPr>
      </w:pPr>
      <w:r>
        <w:t xml:space="preserve">Reduced report preparation time by 35% through a reusable data validation workflow.</w:t>
      </w:r>
    </w:p>
    <w:p>
      <w:pPr>
        <w:pStyle w:val="ListParagraph"/>
        <w:numPr>
          <w:ilvl w:val="0"/>
          <w:numId w:val="1"/>
        </w:numPr>
      </w:pPr>
      <w:r>
        <w:t xml:space="preserve">Partnered with design and customer teams to simplify onboarding and document editing.</w:t>
      </w:r>
    </w:p>
    <w:p>
      <w:pPr>
        <w:pStyle w:val="Heading2"/>
        <w:tabs>
          <w:tab w:val="right" w:pos="9792"/>
        </w:tabs>
      </w:pPr>
      <w:r>
        <w:t xml:space="preserve">Software Engineer</w:t>
      </w:r>
      <w:r>
        <w:tab/>
      </w:r>
      <w:r>
        <w:t xml:space="preserve">2019–2022</w:t>
      </w:r>
    </w:p>
    <w:p>
      <w:pPr>
        <w:pStyle w:val="Subtitle"/>
      </w:pPr>
      <w:r>
        <w:t xml:space="preserve">Northstar Example Cooperative</w:t>
      </w:r>
    </w:p>
    <w:p>
      <w:pPr>
        <w:pStyle w:val="ListParagraph"/>
        <w:numPr>
          <w:ilvl w:val="0"/>
          <w:numId w:val="1"/>
        </w:numPr>
      </w:pPr>
      <w:r>
        <w:t xml:space="preserve">Built reliable services in TypeScript and SQL with clear operational documentation.</w:t>
      </w:r>
    </w:p>
    <w:p>
      <w:pPr>
        <w:pStyle w:val="ListParagraph"/>
        <w:numPr>
          <w:ilvl w:val="0"/>
          <w:numId w:val="1"/>
        </w:numPr>
      </w:pPr>
      <w:r>
        <w:t xml:space="preserve">Introduced automated checks for data quality and keyboard accessibility.</w:t>
      </w:r>
    </w:p>
    <w:p>
      <w:pPr>
        <w:pStyle w:val="Heading1"/>
      </w:pPr>
      <w:r>
        <w:t xml:space="preserve">Projects</w:t>
      </w:r>
    </w:p>
    <w:p>
      <w:pPr>
        <w:pStyle w:val="Heading2"/>
        <w:tabs>
          <w:tab w:val="right" w:pos="9792"/>
        </w:tabs>
      </w:pPr>
      <w:r>
        <w:t xml:space="preserve">Community Resource Directory</w:t>
      </w:r>
      <w:r>
        <w:tab/>
      </w:r>
      <w:r>
        <w:t xml:space="preserve">2024</w:t>
      </w:r>
    </w:p>
    <w:p>
      <w:pPr>
        <w:pStyle w:val="Subtitle"/>
      </w:pPr>
      <w:r>
        <w:t xml:space="preserve">Independent project</w:t>
      </w:r>
    </w:p>
    <w:p>
      <w:pPr>
        <w:pStyle w:val="ListParagraph"/>
        <w:numPr>
          <w:ilvl w:val="0"/>
          <w:numId w:val="1"/>
        </w:numPr>
      </w:pPr>
      <w:r>
        <w:t xml:space="preserve">Designed a searchable directory that helps residents find local support services.</w:t>
      </w:r>
    </w:p>
    <w:p>
      <w:pPr>
        <w:pStyle w:val="ListParagraph"/>
        <w:numPr>
          <w:ilvl w:val="0"/>
          <w:numId w:val="1"/>
        </w:numPr>
      </w:pPr>
      <w:r>
        <w:t xml:space="preserve">Implemented a responsive interface, clear content hierarchy, and accessible navigation.</w:t>
      </w:r>
    </w:p>
    <w:p>
      <w:pPr>
        <w:pStyle w:val="Heading1"/>
      </w:pPr>
      <w:r>
        <w:t xml:space="preserve">Education</w:t>
      </w:r>
    </w:p>
    <w:p>
      <w:pPr>
        <w:pStyle w:val="Heading2"/>
        <w:tabs>
          <w:tab w:val="right" w:pos="9792"/>
        </w:tabs>
      </w:pPr>
      <w:r>
        <w:t xml:space="preserve">Example State University</w:t>
      </w:r>
      <w:r>
        <w:tab/>
      </w:r>
      <w:r>
        <w:t xml:space="preserve">2015–2019</w:t>
      </w:r>
    </w:p>
    <w:p>
      <w:pPr>
        <w:pStyle w:val="Subtitle"/>
      </w:pPr>
      <w:r>
        <w:t xml:space="preserve">B.S. in Computer Science</w:t>
      </w:r>
    </w:p>
    <w:p>
      <w:pPr>
        <w:pStyle w:val="ListParagraph"/>
        <w:numPr>
          <w:ilvl w:val="0"/>
          <w:numId w:val="1"/>
        </w:numPr>
      </w:pPr>
      <w:r>
        <w:t xml:space="preserve">Coursework: software engineering, data structures, human-computer interaction.</w:t>
      </w:r>
    </w:p>
    <w:p>
      <w:pPr>
        <w:pStyle w:val="Heading1"/>
      </w:pPr>
      <w:r>
        <w:t xml:space="preserve">Skills</w:t>
      </w:r>
    </w:p>
    <w:p>
      <w:pPr>
        <w:pStyle w:val="Heading2"/>
        <w:tabs>
          <w:tab w:val="right" w:pos="9792"/>
        </w:tabs>
      </w:pPr>
      <w:r>
        <w:t xml:space="preserve">Languages and tools</w:t>
      </w:r>
    </w:p>
    <w:p>
      <w:pPr>
        <w:pStyle w:val="Subtitle"/>
      </w:pPr>
      <w:r>
        <w:t xml:space="preserve">TypeScript, Rust, Python, SQL, Git, Figma</w:t>
      </w:r>
    </w:p>
    <w:p>
      <w:pPr>
        <w:pStyle w:val="ListParagraph"/>
        <w:numPr>
          <w:ilvl w:val="0"/>
          <w:numId w:val="1"/>
        </w:numPr>
      </w:pPr>
      <w:r>
        <w:t xml:space="preserve">Accessibility, user research, technical writing, and cross-functional collaboration.</w:t>
      </w:r>
    </w:p>
    <w:sectPr>
      <w:pgSz w:w="12240" w:h="15840"/>
      <w:pgMar w:top="1224" w:right="1224" w:bottom="1224" w:left="122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1"/>
        <w:szCs w:val="21"/>
      </w:rPr>
    </w:rPrDefault>
    <w:pPrDefault>
      <w:pPr>
        <w:widowControl/>
        <w:spacing w:after="4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after="120"/>
      <w:jc w:val="center"/>
    </w:pPr>
    <w:rPr>
      <w:b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before="160" w:after="80"/>
      <w:outlineLvl w:val="0"/>
      <w:pBdr>
        <w:bottom w:val="single" w:sz="4" w:space="3" w:color="000000"/>
      </w:pBdr>
    </w:pPr>
    <w:rPr>
      <w:b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before="100" w:after="60"/>
      <w:outlineLvl w:val="1"/>
    </w:pPr>
    <w:rPr>
      <w:b/>
    </w:rPr>
  </w:style>
  <w:style w:type="paragraph" w:styleId="ListParagraph">
    <w:name w:val="List Paragraph"/>
    <w:basedOn w:val="Normal"/>
    <w:qFormat/>
    <w:pPr>
      <w:spacing w:after="60"/>
    </w:pPr>
  </w:style>
  <w:style w:type="paragraph" w:styleId="Contact">
    <w:name w:val="Contact"/>
    <w:basedOn w:val="Normal"/>
    <w:pPr>
      <w:spacing w:after="60"/>
      <w:jc w:val="center"/>
    </w:pPr>
    <w:rPr>
      <w:sz w:val="19"/>
    </w:rPr>
  </w:style>
  <w:style w:type="paragraph" w:styleId="Subtitle">
    <w:name w:val="Subtitle"/>
    <w:basedOn w:val="Normal"/>
    <w:pPr>
      <w:spacing w:after="60"/>
    </w:pPr>
    <w:rPr>
      <w:i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