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vsdx" ContentType="application/vnd.ms-visio.drawing"/>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60DA" w:rsidRDefault="00802F97">
      <w:pPr>
        <w:pStyle w:val="1"/>
        <w:spacing w:beforeLines="200" w:before="624" w:afterLines="50" w:after="156"/>
        <w:rPr>
          <w:rFonts w:ascii="黑体" w:hAnsi="黑体"/>
          <w:b w:val="0"/>
          <w:bCs w:val="0"/>
          <w:kern w:val="2"/>
          <w:sz w:val="30"/>
          <w:szCs w:val="30"/>
        </w:rPr>
      </w:pPr>
      <w:r>
        <w:rPr>
          <w:rFonts w:ascii="黑体" w:hAnsi="黑体" w:hint="eastAsia"/>
          <w:b w:val="0"/>
          <w:bCs w:val="0"/>
          <w:kern w:val="2"/>
          <w:sz w:val="30"/>
          <w:szCs w:val="30"/>
        </w:rPr>
        <w:t>基于多模态融合的铁路给水变频柜预测性维护方法</w:t>
      </w:r>
    </w:p>
    <w:p w:rsidR="002F60DA" w:rsidRDefault="002F60DA">
      <w:pPr>
        <w:pStyle w:val="aff0"/>
        <w:rPr>
          <w:rFonts w:ascii="宋体" w:hAnsi="宋体"/>
          <w:b/>
          <w:szCs w:val="18"/>
        </w:rPr>
      </w:pPr>
    </w:p>
    <w:p w:rsidR="002F60DA" w:rsidRDefault="00802F97">
      <w:pPr>
        <w:pStyle w:val="aff0"/>
        <w:rPr>
          <w:rFonts w:ascii="宋体" w:hAnsi="宋体"/>
          <w:sz w:val="21"/>
          <w:szCs w:val="21"/>
        </w:rPr>
      </w:pPr>
      <w:r>
        <w:rPr>
          <w:rStyle w:val="afa"/>
          <w:rFonts w:eastAsia="黑体" w:hint="eastAsia"/>
          <w:b w:val="0"/>
          <w:bCs w:val="0"/>
          <w:sz w:val="21"/>
        </w:rPr>
        <w:t>摘要：</w:t>
      </w:r>
      <w:r>
        <w:rPr>
          <w:rFonts w:hint="eastAsia"/>
          <w:sz w:val="21"/>
          <w:szCs w:val="21"/>
        </w:rPr>
        <w:t>变频器是铁路给水泵房的核心动力设备，传统监测依赖过流、过压等单点阈值告警，只能在故障发生后才告警，无法提前预警。既有智能变频柜侧重硬件架构，变频器本身的健康预测研究尚属空白。本文设计了一种基于电流</w:t>
      </w:r>
      <w:r>
        <w:rPr>
          <w:rFonts w:hint="eastAsia"/>
          <w:sz w:val="21"/>
          <w:szCs w:val="21"/>
        </w:rPr>
        <w:t>-</w:t>
      </w:r>
      <w:r>
        <w:rPr>
          <w:rFonts w:hint="eastAsia"/>
          <w:sz w:val="21"/>
          <w:szCs w:val="21"/>
        </w:rPr>
        <w:t>振动</w:t>
      </w:r>
      <w:r>
        <w:rPr>
          <w:rFonts w:hint="eastAsia"/>
          <w:sz w:val="21"/>
          <w:szCs w:val="21"/>
        </w:rPr>
        <w:t>-</w:t>
      </w:r>
      <w:r>
        <w:rPr>
          <w:rFonts w:hint="eastAsia"/>
          <w:sz w:val="21"/>
          <w:szCs w:val="21"/>
        </w:rPr>
        <w:t>温度多模态数据融合的变频器健康状态预测性维护方法。在智能变频柜内部署三轴加速度传感器、高频电流互感器、贴片温度阵列，采集变频器运行的多源异构信号；在边缘端构建轻量化</w:t>
      </w:r>
      <w:r>
        <w:rPr>
          <w:rFonts w:hint="eastAsia"/>
          <w:sz w:val="21"/>
          <w:szCs w:val="21"/>
        </w:rPr>
        <w:t>1D-CNN+LSTM</w:t>
      </w:r>
      <w:r>
        <w:rPr>
          <w:rFonts w:hint="eastAsia"/>
          <w:sz w:val="21"/>
          <w:szCs w:val="21"/>
        </w:rPr>
        <w:t>预测模型，实现剩余使用寿命在线估算；在云端建立泵房</w:t>
      </w:r>
      <w:proofErr w:type="gramStart"/>
      <w:r>
        <w:rPr>
          <w:rFonts w:hint="eastAsia"/>
          <w:sz w:val="21"/>
          <w:szCs w:val="21"/>
        </w:rPr>
        <w:t>群健康</w:t>
      </w:r>
      <w:proofErr w:type="gramEnd"/>
      <w:r>
        <w:rPr>
          <w:rFonts w:hint="eastAsia"/>
          <w:sz w:val="21"/>
          <w:szCs w:val="21"/>
        </w:rPr>
        <w:t>档案，通过联邦学习持续优化模型。系统在徐州北、徐州南、邳州、新沂</w:t>
      </w:r>
      <w:r>
        <w:rPr>
          <w:rFonts w:hint="eastAsia"/>
          <w:sz w:val="21"/>
          <w:szCs w:val="21"/>
        </w:rPr>
        <w:t>4</w:t>
      </w:r>
      <w:r>
        <w:rPr>
          <w:rFonts w:hint="eastAsia"/>
          <w:sz w:val="21"/>
          <w:szCs w:val="21"/>
        </w:rPr>
        <w:t>处泵房试运行</w:t>
      </w:r>
      <w:r>
        <w:rPr>
          <w:rFonts w:hint="eastAsia"/>
          <w:sz w:val="21"/>
          <w:szCs w:val="21"/>
        </w:rPr>
        <w:t>6</w:t>
      </w:r>
      <w:r>
        <w:rPr>
          <w:rFonts w:hint="eastAsia"/>
          <w:sz w:val="21"/>
          <w:szCs w:val="21"/>
        </w:rPr>
        <w:t>个月，覆盖</w:t>
      </w:r>
      <w:r>
        <w:rPr>
          <w:rFonts w:hint="eastAsia"/>
          <w:sz w:val="21"/>
          <w:szCs w:val="21"/>
        </w:rPr>
        <w:t>18</w:t>
      </w:r>
      <w:r>
        <w:rPr>
          <w:rFonts w:hint="eastAsia"/>
          <w:sz w:val="21"/>
          <w:szCs w:val="21"/>
        </w:rPr>
        <w:t>台变频器，累计采集数据</w:t>
      </w:r>
      <w:r>
        <w:rPr>
          <w:rFonts w:hint="eastAsia"/>
          <w:sz w:val="21"/>
          <w:szCs w:val="21"/>
        </w:rPr>
        <w:t>2.3</w:t>
      </w:r>
      <w:r>
        <w:rPr>
          <w:rFonts w:hint="eastAsia"/>
          <w:sz w:val="21"/>
          <w:szCs w:val="21"/>
        </w:rPr>
        <w:t>亿条，提前</w:t>
      </w:r>
      <w:r>
        <w:rPr>
          <w:rFonts w:hint="eastAsia"/>
          <w:sz w:val="21"/>
          <w:szCs w:val="21"/>
        </w:rPr>
        <w:t>7-30</w:t>
      </w:r>
      <w:r>
        <w:rPr>
          <w:rFonts w:hint="eastAsia"/>
          <w:sz w:val="21"/>
          <w:szCs w:val="21"/>
        </w:rPr>
        <w:t>天预测故障</w:t>
      </w:r>
      <w:r>
        <w:rPr>
          <w:rFonts w:hint="eastAsia"/>
          <w:sz w:val="21"/>
          <w:szCs w:val="21"/>
        </w:rPr>
        <w:t>11</w:t>
      </w:r>
      <w:r>
        <w:rPr>
          <w:rFonts w:hint="eastAsia"/>
          <w:sz w:val="21"/>
          <w:szCs w:val="21"/>
        </w:rPr>
        <w:t>次，准确率</w:t>
      </w:r>
      <w:r>
        <w:rPr>
          <w:rFonts w:hint="eastAsia"/>
          <w:sz w:val="21"/>
          <w:szCs w:val="21"/>
        </w:rPr>
        <w:t>88.9%</w:t>
      </w:r>
      <w:r>
        <w:rPr>
          <w:rFonts w:hint="eastAsia"/>
          <w:sz w:val="21"/>
          <w:szCs w:val="21"/>
        </w:rPr>
        <w:t>，误报率</w:t>
      </w:r>
      <w:r>
        <w:rPr>
          <w:rFonts w:hint="eastAsia"/>
          <w:sz w:val="21"/>
          <w:szCs w:val="21"/>
        </w:rPr>
        <w:t>4.2%</w:t>
      </w:r>
      <w:r>
        <w:rPr>
          <w:rFonts w:hint="eastAsia"/>
          <w:sz w:val="21"/>
          <w:szCs w:val="21"/>
        </w:rPr>
        <w:t>，相比传统阈值告警方式提前预警时间提升</w:t>
      </w:r>
      <w:r>
        <w:rPr>
          <w:rFonts w:hint="eastAsia"/>
          <w:sz w:val="21"/>
          <w:szCs w:val="21"/>
        </w:rPr>
        <w:t>10</w:t>
      </w:r>
      <w:r>
        <w:rPr>
          <w:rFonts w:hint="eastAsia"/>
          <w:sz w:val="21"/>
          <w:szCs w:val="21"/>
        </w:rPr>
        <w:t>倍以上。实践表明，该方法弥补了既有研究的不足，为铁路给水设备从被动运</w:t>
      </w:r>
      <w:proofErr w:type="gramStart"/>
      <w:r>
        <w:rPr>
          <w:rFonts w:hint="eastAsia"/>
          <w:sz w:val="21"/>
          <w:szCs w:val="21"/>
        </w:rPr>
        <w:t>维向预测运</w:t>
      </w:r>
      <w:proofErr w:type="gramEnd"/>
      <w:r>
        <w:rPr>
          <w:rFonts w:hint="eastAsia"/>
          <w:sz w:val="21"/>
          <w:szCs w:val="21"/>
        </w:rPr>
        <w:t>维转型提供了可行路径。</w:t>
      </w:r>
    </w:p>
    <w:p w:rsidR="002F60DA" w:rsidRDefault="00802F97">
      <w:pPr>
        <w:adjustRightInd w:val="0"/>
        <w:snapToGrid w:val="0"/>
        <w:spacing w:beforeLines="50" w:before="156"/>
        <w:ind w:firstLineChars="0" w:firstLine="0"/>
        <w:rPr>
          <w:rFonts w:ascii="宋体" w:hAnsi="宋体"/>
          <w:szCs w:val="21"/>
        </w:rPr>
      </w:pPr>
      <w:r>
        <w:rPr>
          <w:rStyle w:val="afa"/>
          <w:rFonts w:eastAsia="黑体" w:hint="eastAsia"/>
          <w:b w:val="0"/>
          <w:bCs w:val="0"/>
        </w:rPr>
        <w:t>关键词：</w:t>
      </w:r>
      <w:r>
        <w:rPr>
          <w:rFonts w:hint="eastAsia"/>
          <w:szCs w:val="21"/>
        </w:rPr>
        <w:t>铁路给水；智能变频柜；预测性维护；多模态融合</w:t>
      </w:r>
    </w:p>
    <w:p w:rsidR="002F60DA" w:rsidRDefault="002F60DA">
      <w:pPr>
        <w:pStyle w:val="a0"/>
      </w:pPr>
    </w:p>
    <w:p w:rsidR="002F60DA" w:rsidRDefault="00802F97">
      <w:pPr>
        <w:pStyle w:val="a7"/>
        <w:ind w:firstLineChars="0" w:firstLine="0"/>
        <w:jc w:val="center"/>
        <w:rPr>
          <w:rFonts w:eastAsia="黑体"/>
          <w:b/>
          <w:sz w:val="28"/>
          <w:szCs w:val="28"/>
        </w:rPr>
      </w:pPr>
      <w:r>
        <w:rPr>
          <w:rFonts w:eastAsia="黑体"/>
          <w:b/>
          <w:sz w:val="28"/>
          <w:szCs w:val="28"/>
        </w:rPr>
        <w:t>Predictive Maintenance Method for Railway Water Supply Variable Frequency Cabinets Based on Multimodal Fusion</w:t>
      </w:r>
    </w:p>
    <w:p w:rsidR="002F60DA" w:rsidRDefault="00802F97">
      <w:pPr>
        <w:pStyle w:val="a7"/>
        <w:ind w:firstLine="422"/>
        <w:rPr>
          <w:rStyle w:val="afa"/>
          <w:b w:val="0"/>
          <w:bCs w:val="0"/>
        </w:rPr>
      </w:pPr>
      <w:r>
        <w:rPr>
          <w:rStyle w:val="afa"/>
          <w:rFonts w:hint="eastAsia"/>
        </w:rPr>
        <w:t xml:space="preserve">Abstract: </w:t>
      </w:r>
      <w:r>
        <w:rPr>
          <w:rStyle w:val="afa"/>
          <w:b w:val="0"/>
          <w:bCs w:val="0"/>
        </w:rPr>
        <w:t xml:space="preserve">Predictive maintenance method of railway water supply frequency conversion cabinet based on multi-modal fusion and edge intelligence. The frequency converter is the core power equipment of railway water supply pump house. The traditional monitoring relies on single-point threshold alarms such as over-current and over-voltage, which can only alarm after the fault occurs and cannot give early warning. The existing intelligent frequency conversion cabinet focuses on the hardware architecture, and the health prediction research of the frequency converter itself is still blank. This paper designs a predictive maintenance method for frequency converter health state based on current-vibration-temperature multi-modal data fusion. The three-axis acceleration sensor, high-frequency current transformer and patch temperature array are deployed in the intelligent frequency conversion cabinet to collect the multi-source heterogeneous signals of the frequency converter operation. The lightweight 1D-CNN+LSTM prediction model is constructed at the edge to realize the online estimation of the remaining service life. The pump house group health file is established in the cloud, and the model is continuously optimized through federated learning. The system has been in trial operation for 6 months in 4 pump houses including Xuzhou North, Xuzhou South, </w:t>
      </w:r>
      <w:proofErr w:type="spellStart"/>
      <w:r>
        <w:rPr>
          <w:rStyle w:val="afa"/>
          <w:b w:val="0"/>
          <w:bCs w:val="0"/>
        </w:rPr>
        <w:t>Pizhou</w:t>
      </w:r>
      <w:proofErr w:type="spellEnd"/>
      <w:r>
        <w:rPr>
          <w:rStyle w:val="afa"/>
          <w:b w:val="0"/>
          <w:bCs w:val="0"/>
        </w:rPr>
        <w:t xml:space="preserve"> and Xinyi, covering 18 frequency converters. A total of 230 million pieces of data have been collected, and 11 faults have been predicted 7-30 days in advance, with an accuracy of 88.9% and a false alarm rate of 4.2%. Compared with the traditional threshold alarm method, the early warning time is increased by more than 10 times. The practice shows that this method makes up for the shortcomings of the existing research and provides a feasible path for the transformation of railway water supply equipment from passive operation and maintenance to predictive operation and maintenance.</w:t>
      </w:r>
    </w:p>
    <w:p w:rsidR="002F60DA" w:rsidRDefault="00802F97">
      <w:pPr>
        <w:pStyle w:val="a7"/>
        <w:ind w:firstLine="422"/>
      </w:pPr>
      <w:r>
        <w:rPr>
          <w:rStyle w:val="afa"/>
          <w:rFonts w:hint="eastAsia"/>
        </w:rPr>
        <w:t xml:space="preserve">Keywords: </w:t>
      </w:r>
      <w:r>
        <w:rPr>
          <w:rStyle w:val="afa"/>
          <w:b w:val="0"/>
          <w:bCs w:val="0"/>
        </w:rPr>
        <w:t>Railway Water Supply; Intelligent Frequency Conversion Cabinet; Predictive Maintenance; Multi-modal Fusion</w:t>
      </w:r>
    </w:p>
    <w:p w:rsidR="002F60DA" w:rsidRDefault="002F60DA">
      <w:pPr>
        <w:pStyle w:val="aff0"/>
        <w:spacing w:beforeLines="100" w:before="312"/>
        <w:rPr>
          <w:szCs w:val="18"/>
        </w:rPr>
      </w:pPr>
    </w:p>
    <w:p w:rsidR="002F60DA" w:rsidRDefault="002F60DA">
      <w:pPr>
        <w:pStyle w:val="aff0"/>
        <w:spacing w:beforeLines="100" w:before="312"/>
        <w:rPr>
          <w:szCs w:val="18"/>
        </w:rPr>
        <w:sectPr w:rsidR="002F60DA">
          <w:headerReference w:type="even" r:id="rId7"/>
          <w:headerReference w:type="default" r:id="rId8"/>
          <w:footerReference w:type="even" r:id="rId9"/>
          <w:footerReference w:type="default" r:id="rId10"/>
          <w:headerReference w:type="first" r:id="rId11"/>
          <w:footerReference w:type="first" r:id="rId12"/>
          <w:type w:val="continuous"/>
          <w:pgSz w:w="11906" w:h="16838"/>
          <w:pgMar w:top="1219" w:right="1106" w:bottom="1219" w:left="1106" w:header="851" w:footer="992" w:gutter="0"/>
          <w:cols w:space="720"/>
          <w:titlePg/>
          <w:docGrid w:type="linesAndChars" w:linePitch="312"/>
        </w:sectPr>
      </w:pPr>
    </w:p>
    <w:p w:rsidR="002F60DA" w:rsidRDefault="00802F97">
      <w:pPr>
        <w:pStyle w:val="2"/>
        <w:spacing w:before="156" w:after="156"/>
        <w:rPr>
          <w:szCs w:val="28"/>
        </w:rPr>
      </w:pPr>
      <w:r>
        <w:rPr>
          <w:rFonts w:hint="eastAsia"/>
          <w:szCs w:val="28"/>
        </w:rPr>
        <w:lastRenderedPageBreak/>
        <w:t>引言</w:t>
      </w:r>
    </w:p>
    <w:p w:rsidR="002F60DA" w:rsidRDefault="00802F97">
      <w:pPr>
        <w:ind w:firstLine="420"/>
      </w:pPr>
      <w:r>
        <w:rPr>
          <w:rFonts w:hint="eastAsia"/>
        </w:rPr>
        <w:t>高铁路给水系统是保障铁路运输安全与服务质量的关键基础设施，变频器作为给水泵房的“心脏”，承担着水泵电机变频调速与恒压供水的核心任务，其运行可靠性直接关系到铁路沿线供水安全。截至</w:t>
      </w:r>
      <w:r>
        <w:rPr>
          <w:rFonts w:hint="eastAsia"/>
        </w:rPr>
        <w:t>2024</w:t>
      </w:r>
      <w:r>
        <w:rPr>
          <w:rFonts w:hint="eastAsia"/>
        </w:rPr>
        <w:t>年底，中国铁路营业里程已超</w:t>
      </w:r>
      <w:r>
        <w:rPr>
          <w:rFonts w:hint="eastAsia"/>
        </w:rPr>
        <w:t>16</w:t>
      </w:r>
      <w:r>
        <w:rPr>
          <w:rFonts w:hint="eastAsia"/>
        </w:rPr>
        <w:t>万公里，沿线分布给水泵房约</w:t>
      </w:r>
      <w:r>
        <w:rPr>
          <w:rFonts w:hint="eastAsia"/>
        </w:rPr>
        <w:t>6800</w:t>
      </w:r>
      <w:r>
        <w:rPr>
          <w:rFonts w:hint="eastAsia"/>
        </w:rPr>
        <w:t>处，配套变频器数量超过</w:t>
      </w:r>
      <w:r>
        <w:rPr>
          <w:rFonts w:hint="eastAsia"/>
        </w:rPr>
        <w:t>2</w:t>
      </w:r>
      <w:r>
        <w:rPr>
          <w:rFonts w:hint="eastAsia"/>
        </w:rPr>
        <w:t>万台，设备规模庞大</w:t>
      </w:r>
      <w:proofErr w:type="gramStart"/>
      <w:r>
        <w:rPr>
          <w:rFonts w:hint="eastAsia"/>
        </w:rPr>
        <w:t>且运维压力</w:t>
      </w:r>
      <w:proofErr w:type="gramEnd"/>
      <w:r>
        <w:rPr>
          <w:rFonts w:hint="eastAsia"/>
        </w:rPr>
        <w:t>日益增加</w:t>
      </w:r>
      <w:r>
        <w:rPr>
          <w:rFonts w:hint="eastAsia"/>
        </w:rPr>
        <w:t>[1]</w:t>
      </w:r>
      <w:r>
        <w:rPr>
          <w:rFonts w:hint="eastAsia"/>
        </w:rPr>
        <w:t>。随着铁路高质量发展战略的深入推进，提升关键机电设备的智能化运维水平、保障供水系统连续稳定运行，已成为铁路工</w:t>
      </w:r>
      <w:proofErr w:type="gramStart"/>
      <w:r>
        <w:rPr>
          <w:rFonts w:hint="eastAsia"/>
        </w:rPr>
        <w:t>务</w:t>
      </w:r>
      <w:proofErr w:type="gramEnd"/>
      <w:r>
        <w:rPr>
          <w:rFonts w:hint="eastAsia"/>
        </w:rPr>
        <w:t>与供电部门亟待解决的重要课题。</w:t>
      </w:r>
    </w:p>
    <w:p w:rsidR="002F60DA" w:rsidRDefault="00802F97">
      <w:pPr>
        <w:ind w:firstLine="420"/>
      </w:pPr>
      <w:r>
        <w:rPr>
          <w:rFonts w:hint="eastAsia"/>
        </w:rPr>
        <w:t>然而，随着设备服役年限增长，变频器故障频发对铁路供水安全构成了严峻挑战。以徐州段为例，该区段在用变频器超</w:t>
      </w:r>
      <w:r>
        <w:rPr>
          <w:rFonts w:hint="eastAsia"/>
        </w:rPr>
        <w:t>300</w:t>
      </w:r>
      <w:r>
        <w:rPr>
          <w:rFonts w:hint="eastAsia"/>
        </w:rPr>
        <w:t>台，年故障停机约</w:t>
      </w:r>
      <w:r>
        <w:rPr>
          <w:rFonts w:hint="eastAsia"/>
        </w:rPr>
        <w:t>35</w:t>
      </w:r>
      <w:r>
        <w:rPr>
          <w:rFonts w:hint="eastAsia"/>
        </w:rPr>
        <w:t>次，单次非计划停机平均影响列车上水</w:t>
      </w:r>
      <w:r>
        <w:rPr>
          <w:rFonts w:hint="eastAsia"/>
        </w:rPr>
        <w:t>40</w:t>
      </w:r>
      <w:r>
        <w:rPr>
          <w:rFonts w:hint="eastAsia"/>
        </w:rPr>
        <w:t>至</w:t>
      </w:r>
      <w:r>
        <w:rPr>
          <w:rFonts w:hint="eastAsia"/>
        </w:rPr>
        <w:t>60</w:t>
      </w:r>
      <w:r>
        <w:rPr>
          <w:rFonts w:hint="eastAsia"/>
        </w:rPr>
        <w:t>分钟。特别是在</w:t>
      </w:r>
      <w:r>
        <w:rPr>
          <w:rFonts w:hint="eastAsia"/>
        </w:rPr>
        <w:t>2023</w:t>
      </w:r>
      <w:r>
        <w:rPr>
          <w:rFonts w:hint="eastAsia"/>
        </w:rPr>
        <w:t>年某次暴雨应急供水期间，某泵房一台稳定运行</w:t>
      </w:r>
      <w:r>
        <w:rPr>
          <w:rFonts w:hint="eastAsia"/>
        </w:rPr>
        <w:t>7</w:t>
      </w:r>
      <w:r>
        <w:rPr>
          <w:rFonts w:hint="eastAsia"/>
        </w:rPr>
        <w:t>年的</w:t>
      </w:r>
      <w:r>
        <w:rPr>
          <w:rFonts w:hint="eastAsia"/>
        </w:rPr>
        <w:t>30 kW</w:t>
      </w:r>
      <w:r>
        <w:rPr>
          <w:rFonts w:hint="eastAsia"/>
        </w:rPr>
        <w:t>变频器因</w:t>
      </w:r>
      <w:r>
        <w:rPr>
          <w:rFonts w:hint="eastAsia"/>
        </w:rPr>
        <w:t>IGBT</w:t>
      </w:r>
      <w:r>
        <w:rPr>
          <w:rFonts w:hint="eastAsia"/>
        </w:rPr>
        <w:t>模块过热烧毁而突发跳闸，由于既有监测模式仅具备“过流”“过压”等单点阈值告警功能，缺乏对健康退化趋势的感知能力，导致故障在毫无预警的情况下发生。这一典型案例暴露了传统运</w:t>
      </w:r>
      <w:proofErr w:type="gramStart"/>
      <w:r>
        <w:rPr>
          <w:rFonts w:hint="eastAsia"/>
        </w:rPr>
        <w:t>维模式</w:t>
      </w:r>
      <w:proofErr w:type="gramEnd"/>
      <w:r>
        <w:rPr>
          <w:rFonts w:hint="eastAsia"/>
        </w:rPr>
        <w:t>的固有局限——只能感知“已坏”，无法预警“快坏”，难以满足铁路高可靠性运营的安全需求。</w:t>
      </w:r>
    </w:p>
    <w:p w:rsidR="002F60DA" w:rsidRDefault="00802F97">
      <w:pPr>
        <w:ind w:firstLine="420"/>
      </w:pPr>
      <w:r>
        <w:rPr>
          <w:rFonts w:hint="eastAsia"/>
        </w:rPr>
        <w:t>针对铁路泵房智能变频柜的运维问题，虽然已有研究在硬件架构与系统集成方面取得了进展，如文献</w:t>
      </w:r>
      <w:r>
        <w:rPr>
          <w:rFonts w:hint="eastAsia"/>
        </w:rPr>
        <w:t>[1,2]</w:t>
      </w:r>
      <w:r>
        <w:rPr>
          <w:rFonts w:hint="eastAsia"/>
        </w:rPr>
        <w:t>分别提出了包含多传感器融合的智能变频柜架构及基于边缘计算的系统级应用框架，但现有工作多集中于事后告警与基础数据采集，对变频器本身的健康退化建模、剩余使用寿命（</w:t>
      </w:r>
      <w:r>
        <w:rPr>
          <w:rFonts w:hint="eastAsia"/>
        </w:rPr>
        <w:t>RUL</w:t>
      </w:r>
      <w:r>
        <w:rPr>
          <w:rFonts w:hint="eastAsia"/>
        </w:rPr>
        <w:t>）预测及提前预警等核心问题鲜有涉及。同时，尽管工业领域预测性维护（</w:t>
      </w:r>
      <w:r>
        <w:rPr>
          <w:rFonts w:hint="eastAsia"/>
        </w:rPr>
        <w:t>PHM</w:t>
      </w:r>
      <w:r>
        <w:rPr>
          <w:rFonts w:hint="eastAsia"/>
        </w:rPr>
        <w:t>）技术在风机、旋转机械等场景已有广泛应用</w:t>
      </w:r>
      <w:r>
        <w:rPr>
          <w:rFonts w:hint="eastAsia"/>
        </w:rPr>
        <w:t>[3-5]</w:t>
      </w:r>
      <w:r>
        <w:rPr>
          <w:rFonts w:hint="eastAsia"/>
        </w:rPr>
        <w:t>，但既有方法大多面向单一模态或单点设备，未充分考虑铁路给水变频柜“电流</w:t>
      </w:r>
      <w:r>
        <w:rPr>
          <w:rFonts w:hint="eastAsia"/>
        </w:rPr>
        <w:t>-</w:t>
      </w:r>
      <w:r>
        <w:rPr>
          <w:rFonts w:hint="eastAsia"/>
        </w:rPr>
        <w:t>振动</w:t>
      </w:r>
      <w:r>
        <w:rPr>
          <w:rFonts w:hint="eastAsia"/>
        </w:rPr>
        <w:t>-</w:t>
      </w:r>
      <w:r>
        <w:rPr>
          <w:rFonts w:hint="eastAsia"/>
        </w:rPr>
        <w:t>温度”多源异构信号协同、“边缘</w:t>
      </w:r>
      <w:r>
        <w:rPr>
          <w:rFonts w:hint="eastAsia"/>
        </w:rPr>
        <w:t>-</w:t>
      </w:r>
      <w:r>
        <w:rPr>
          <w:rFonts w:hint="eastAsia"/>
        </w:rPr>
        <w:t>云端”</w:t>
      </w:r>
      <w:proofErr w:type="gramStart"/>
      <w:r>
        <w:rPr>
          <w:rFonts w:hint="eastAsia"/>
        </w:rPr>
        <w:t>两级算力受限</w:t>
      </w:r>
      <w:proofErr w:type="gramEnd"/>
      <w:r>
        <w:rPr>
          <w:rFonts w:hint="eastAsia"/>
        </w:rPr>
        <w:t>以及“多泵房跨域”联合建模等特殊工程约束，难以直接移植应用。</w:t>
      </w:r>
    </w:p>
    <w:p w:rsidR="002F60DA" w:rsidRDefault="00802F97">
      <w:pPr>
        <w:ind w:firstLine="420"/>
      </w:pPr>
      <w:r>
        <w:rPr>
          <w:rFonts w:hint="eastAsia"/>
        </w:rPr>
        <w:t>因此，本研究提出了基于多模态融合与边缘智能的铁路给水变频柜预测性维护系统，旨在突破传统阈值告警的局限，实现对变频器健康状态的实时感知、退化趋势预测及故障提前预警。本文首次将电流</w:t>
      </w:r>
      <w:r>
        <w:rPr>
          <w:rFonts w:hint="eastAsia"/>
        </w:rPr>
        <w:t>-</w:t>
      </w:r>
      <w:r>
        <w:rPr>
          <w:rFonts w:hint="eastAsia"/>
        </w:rPr>
        <w:t>振动</w:t>
      </w:r>
      <w:r>
        <w:rPr>
          <w:rFonts w:hint="eastAsia"/>
        </w:rPr>
        <w:t>-</w:t>
      </w:r>
      <w:r>
        <w:rPr>
          <w:rFonts w:hint="eastAsia"/>
        </w:rPr>
        <w:t>温度三模态</w:t>
      </w:r>
      <w:r>
        <w:rPr>
          <w:rFonts w:hint="eastAsia"/>
        </w:rPr>
        <w:t>RUL</w:t>
      </w:r>
      <w:r>
        <w:rPr>
          <w:rFonts w:hint="eastAsia"/>
        </w:rPr>
        <w:t>预测应用于铁路给水变频器，设计了</w:t>
      </w:r>
      <w:proofErr w:type="gramStart"/>
      <w:r>
        <w:rPr>
          <w:rFonts w:hint="eastAsia"/>
        </w:rPr>
        <w:t>边缘端轻量化</w:t>
      </w:r>
      <w:proofErr w:type="gramEnd"/>
      <w:r>
        <w:rPr>
          <w:rFonts w:hint="eastAsia"/>
        </w:rPr>
        <w:t>1D-CNN+BiLSTM+Attention</w:t>
      </w:r>
      <w:r>
        <w:rPr>
          <w:rFonts w:hint="eastAsia"/>
        </w:rPr>
        <w:t>模型，推理耗时</w:t>
      </w:r>
      <w:r>
        <w:rPr>
          <w:rFonts w:hint="eastAsia"/>
        </w:rPr>
        <w:t xml:space="preserve">18 </w:t>
      </w:r>
      <w:proofErr w:type="spellStart"/>
      <w:r>
        <w:rPr>
          <w:rFonts w:hint="eastAsia"/>
        </w:rPr>
        <w:t>ms</w:t>
      </w:r>
      <w:proofErr w:type="spellEnd"/>
      <w:r>
        <w:rPr>
          <w:rFonts w:hint="eastAsia"/>
        </w:rPr>
        <w:t>/</w:t>
      </w:r>
      <w:r w:rsidR="001456C4">
        <w:rPr>
          <w:rFonts w:hint="eastAsia"/>
        </w:rPr>
        <w:t>帧</w:t>
      </w:r>
      <w:r>
        <w:rPr>
          <w:rFonts w:hint="eastAsia"/>
        </w:rPr>
        <w:t>，并结合</w:t>
      </w:r>
      <w:r>
        <w:rPr>
          <w:rFonts w:hint="eastAsia"/>
        </w:rPr>
        <w:t>5G</w:t>
      </w:r>
      <w:r>
        <w:rPr>
          <w:rFonts w:hint="eastAsia"/>
        </w:rPr>
        <w:t>专网与联邦学习框架实现了多泵房模型的隐私保护协同演化。该系统使运</w:t>
      </w:r>
      <w:proofErr w:type="gramStart"/>
      <w:r>
        <w:rPr>
          <w:rFonts w:hint="eastAsia"/>
        </w:rPr>
        <w:t>维人员</w:t>
      </w:r>
      <w:proofErr w:type="gramEnd"/>
      <w:r>
        <w:rPr>
          <w:rFonts w:hint="eastAsia"/>
        </w:rPr>
        <w:t>能够</w:t>
      </w:r>
      <w:r>
        <w:rPr>
          <w:rFonts w:hint="eastAsia"/>
        </w:rPr>
        <w:lastRenderedPageBreak/>
        <w:t>从“被动抢修”转向“主动预防”，及时发现并处理潜在设备隐患，对推动铁路给水设备的数字化和智能化管理、保证高速铁路沿线供水系统的安全稳定运行具有重要意义。</w:t>
      </w:r>
    </w:p>
    <w:p w:rsidR="002F60DA" w:rsidRDefault="002F60DA">
      <w:pPr>
        <w:ind w:firstLine="420"/>
      </w:pPr>
    </w:p>
    <w:p w:rsidR="002F60DA" w:rsidRDefault="00802F97">
      <w:pPr>
        <w:pStyle w:val="2"/>
        <w:spacing w:before="156" w:after="156"/>
      </w:pPr>
      <w:r>
        <w:rPr>
          <w:rFonts w:hint="eastAsia"/>
        </w:rPr>
        <w:t xml:space="preserve">1 </w:t>
      </w:r>
      <w:r>
        <w:rPr>
          <w:rFonts w:hint="eastAsia"/>
        </w:rPr>
        <w:t>系统总体设计</w:t>
      </w:r>
    </w:p>
    <w:p w:rsidR="002F60DA" w:rsidRDefault="00802F97">
      <w:pPr>
        <w:pStyle w:val="a7"/>
        <w:ind w:firstLine="420"/>
      </w:pPr>
      <w:r>
        <w:rPr>
          <w:rFonts w:hint="eastAsia"/>
        </w:rPr>
        <w:t>针对铁路给水</w:t>
      </w:r>
      <w:proofErr w:type="gramStart"/>
      <w:r>
        <w:rPr>
          <w:rFonts w:hint="eastAsia"/>
        </w:rPr>
        <w:t>变频柜运维</w:t>
      </w:r>
      <w:proofErr w:type="gramEnd"/>
      <w:r>
        <w:rPr>
          <w:rFonts w:hint="eastAsia"/>
        </w:rPr>
        <w:t>场景的特殊需求，本研究构建了感知层、边缘层、云端层三层协同架构，并通过</w:t>
      </w:r>
      <w:r>
        <w:rPr>
          <w:rFonts w:hint="eastAsia"/>
        </w:rPr>
        <w:t>5G</w:t>
      </w:r>
      <w:r>
        <w:rPr>
          <w:rFonts w:hint="eastAsia"/>
        </w:rPr>
        <w:t>专网实现高速互联，系统整体架构如图</w:t>
      </w:r>
      <w:r>
        <w:rPr>
          <w:rFonts w:hint="eastAsia"/>
        </w:rPr>
        <w:t>1</w:t>
      </w:r>
      <w:r>
        <w:rPr>
          <w:rFonts w:hint="eastAsia"/>
        </w:rPr>
        <w:t>所示。该架构遵循“端边云”一体化设计理念，感知</w:t>
      </w:r>
      <w:proofErr w:type="gramStart"/>
      <w:r>
        <w:rPr>
          <w:rFonts w:hint="eastAsia"/>
        </w:rPr>
        <w:t>层负责多</w:t>
      </w:r>
      <w:proofErr w:type="gramEnd"/>
      <w:r>
        <w:rPr>
          <w:rFonts w:hint="eastAsia"/>
        </w:rPr>
        <w:t>源异构数据的精准采集，边缘层承担实时推理与本地决策任务，云端层聚焦于</w:t>
      </w:r>
      <w:proofErr w:type="gramStart"/>
      <w:r>
        <w:rPr>
          <w:rFonts w:hint="eastAsia"/>
        </w:rPr>
        <w:t>群级健康</w:t>
      </w:r>
      <w:proofErr w:type="gramEnd"/>
      <w:r>
        <w:rPr>
          <w:rFonts w:hint="eastAsia"/>
        </w:rPr>
        <w:t>管理与模型协同演化。通过三层功能的有机衔接，系统实现了从单点设备监测到泵房群智能运维的跨越，为变频器全生命周期健康管理提供了坚实的技术支撑。</w:t>
      </w:r>
    </w:p>
    <w:p w:rsidR="002F60DA" w:rsidRDefault="00802F97">
      <w:pPr>
        <w:pStyle w:val="aff1"/>
      </w:pPr>
      <w:r>
        <w:object w:dxaOrig="2921" w:dyaOrig="34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6.05pt;height:171.85pt" o:ole="">
            <v:imagedata r:id="rId13" o:title=""/>
          </v:shape>
          <o:OLEObject Type="Embed" ProgID="Visio.Drawing.15" ShapeID="_x0000_i1025" DrawAspect="Content" ObjectID="_1845095421" r:id="rId14"/>
        </w:object>
      </w:r>
    </w:p>
    <w:p w:rsidR="002F60DA" w:rsidRDefault="00802F97">
      <w:pPr>
        <w:ind w:firstLineChars="0" w:firstLine="0"/>
        <w:jc w:val="center"/>
        <w:rPr>
          <w:rFonts w:eastAsiaTheme="minorEastAsia"/>
        </w:rPr>
      </w:pPr>
      <w:r>
        <w:rPr>
          <w:rFonts w:eastAsiaTheme="minorEastAsia" w:hint="eastAsia"/>
        </w:rPr>
        <w:t>图</w:t>
      </w:r>
      <w:r>
        <w:rPr>
          <w:rFonts w:eastAsiaTheme="minorEastAsia" w:hint="eastAsia"/>
        </w:rPr>
        <w:t xml:space="preserve">1 </w:t>
      </w:r>
      <w:r>
        <w:rPr>
          <w:rFonts w:eastAsiaTheme="minorEastAsia" w:hint="eastAsia"/>
        </w:rPr>
        <w:t>变频柜预测性维护系统架构</w:t>
      </w:r>
    </w:p>
    <w:p w:rsidR="002F60DA" w:rsidRDefault="00802F97">
      <w:pPr>
        <w:ind w:firstLineChars="0" w:firstLine="0"/>
        <w:jc w:val="center"/>
        <w:rPr>
          <w:rFonts w:eastAsiaTheme="minorEastAsia"/>
        </w:rPr>
      </w:pPr>
      <w:r>
        <w:rPr>
          <w:rFonts w:eastAsiaTheme="minorEastAsia"/>
        </w:rPr>
        <w:t>Fig.1 Architecture of frequency conversion cabinet predictive maintenance system</w:t>
      </w:r>
    </w:p>
    <w:p w:rsidR="002F60DA" w:rsidRDefault="00802F97">
      <w:pPr>
        <w:pStyle w:val="af5"/>
        <w:spacing w:before="156" w:after="156"/>
      </w:pPr>
      <w:r>
        <w:rPr>
          <w:rFonts w:hint="eastAsia"/>
        </w:rPr>
        <w:t xml:space="preserve">1.1 </w:t>
      </w:r>
      <w:r>
        <w:rPr>
          <w:rFonts w:hint="eastAsia"/>
        </w:rPr>
        <w:t>三层功能划分</w:t>
      </w:r>
    </w:p>
    <w:p w:rsidR="002F60DA" w:rsidRDefault="00802F97">
      <w:pPr>
        <w:pStyle w:val="a7"/>
        <w:ind w:firstLine="420"/>
      </w:pPr>
      <w:r>
        <w:rPr>
          <w:rFonts w:hint="eastAsia"/>
        </w:rPr>
        <w:t>在功能实现上，各层级依据工程约束进行了精细化设计。感知层严格遵循无接触、无侵入原则，确保对既有设备零干扰：电流采集采用</w:t>
      </w:r>
      <w:proofErr w:type="gramStart"/>
      <w:r>
        <w:rPr>
          <w:rFonts w:hint="eastAsia"/>
        </w:rPr>
        <w:t>穿芯式霍</w:t>
      </w:r>
      <w:proofErr w:type="gramEnd"/>
      <w:r>
        <w:rPr>
          <w:rFonts w:hint="eastAsia"/>
        </w:rPr>
        <w:t>尔</w:t>
      </w:r>
      <w:r>
        <w:rPr>
          <w:rFonts w:hint="eastAsia"/>
        </w:rPr>
        <w:t>CT</w:t>
      </w:r>
      <w:r>
        <w:rPr>
          <w:rFonts w:hint="eastAsia"/>
        </w:rPr>
        <w:t>，不改变主回路结构；振动传感器通过</w:t>
      </w:r>
      <w:proofErr w:type="gramStart"/>
      <w:r>
        <w:rPr>
          <w:rFonts w:hint="eastAsia"/>
        </w:rPr>
        <w:t>磁吸座与</w:t>
      </w:r>
      <w:proofErr w:type="gramEnd"/>
      <w:r>
        <w:rPr>
          <w:rFonts w:hint="eastAsia"/>
        </w:rPr>
        <w:t>环氧胶复合固定于外壳测振点；温度监测采用贴片</w:t>
      </w:r>
      <w:r>
        <w:rPr>
          <w:rFonts w:hint="eastAsia"/>
        </w:rPr>
        <w:t>PT100</w:t>
      </w:r>
      <w:r>
        <w:rPr>
          <w:rFonts w:hint="eastAsia"/>
        </w:rPr>
        <w:t>配合热传导胶贴装于关键器件表面。三类传感器共用</w:t>
      </w:r>
      <w:r>
        <w:rPr>
          <w:rFonts w:hint="eastAsia"/>
        </w:rPr>
        <w:t>PTP</w:t>
      </w:r>
      <w:r>
        <w:rPr>
          <w:rFonts w:hint="eastAsia"/>
        </w:rPr>
        <w:t>时钟同步模块，</w:t>
      </w:r>
      <w:proofErr w:type="gramStart"/>
      <w:r>
        <w:rPr>
          <w:rFonts w:hint="eastAsia"/>
        </w:rPr>
        <w:t>采集时戳误差控制</w:t>
      </w:r>
      <w:proofErr w:type="gramEnd"/>
      <w:r>
        <w:rPr>
          <w:rFonts w:hint="eastAsia"/>
        </w:rPr>
        <w:t>在</w:t>
      </w:r>
      <w:r>
        <w:rPr>
          <w:rFonts w:hint="eastAsia"/>
        </w:rPr>
        <w:t xml:space="preserve">100 </w:t>
      </w:r>
      <w:r>
        <w:rPr>
          <w:rFonts w:hint="eastAsia"/>
        </w:rPr>
        <w:t>μ</w:t>
      </w:r>
      <w:r>
        <w:rPr>
          <w:rFonts w:hint="eastAsia"/>
        </w:rPr>
        <w:t>s</w:t>
      </w:r>
      <w:r>
        <w:rPr>
          <w:rFonts w:hint="eastAsia"/>
        </w:rPr>
        <w:t>以内，保障了多模态数据的时空对齐。边缘层以</w:t>
      </w:r>
      <w:r>
        <w:rPr>
          <w:rFonts w:hint="eastAsia"/>
        </w:rPr>
        <w:t>NVIDIA Jetson AGX Orin</w:t>
      </w:r>
      <w:r>
        <w:rPr>
          <w:rFonts w:hint="eastAsia"/>
        </w:rPr>
        <w:t>为核心计算单元，具备</w:t>
      </w:r>
      <w:r>
        <w:rPr>
          <w:rFonts w:hint="eastAsia"/>
        </w:rPr>
        <w:t>100 TOPS</w:t>
      </w:r>
      <w:proofErr w:type="gramStart"/>
      <w:r>
        <w:rPr>
          <w:rFonts w:hint="eastAsia"/>
        </w:rPr>
        <w:t>算力与</w:t>
      </w:r>
      <w:proofErr w:type="gramEnd"/>
      <w:r>
        <w:rPr>
          <w:rFonts w:hint="eastAsia"/>
        </w:rPr>
        <w:t>≤</w:t>
      </w:r>
      <w:r>
        <w:rPr>
          <w:rFonts w:hint="eastAsia"/>
        </w:rPr>
        <w:t>25 W</w:t>
      </w:r>
      <w:r>
        <w:rPr>
          <w:rFonts w:hint="eastAsia"/>
        </w:rPr>
        <w:t>低功耗特性，体积仅</w:t>
      </w:r>
      <w:proofErr w:type="gramStart"/>
      <w:r>
        <w:rPr>
          <w:rFonts w:hint="eastAsia"/>
        </w:rPr>
        <w:t>110</w:t>
      </w:r>
      <w:r>
        <w:rPr>
          <w:rFonts w:hint="eastAsia"/>
        </w:rPr>
        <w:t>×</w:t>
      </w:r>
      <w:r>
        <w:rPr>
          <w:rFonts w:hint="eastAsia"/>
        </w:rPr>
        <w:t>110</w:t>
      </w:r>
      <w:r>
        <w:rPr>
          <w:rFonts w:hint="eastAsia"/>
        </w:rPr>
        <w:t>×</w:t>
      </w:r>
      <w:proofErr w:type="gramEnd"/>
      <w:r>
        <w:rPr>
          <w:rFonts w:hint="eastAsia"/>
        </w:rPr>
        <w:t>40 mm</w:t>
      </w:r>
      <w:r>
        <w:rPr>
          <w:rFonts w:hint="eastAsia"/>
        </w:rPr>
        <w:t>，可直接挂装于变频柜</w:t>
      </w:r>
      <w:r>
        <w:rPr>
          <w:rFonts w:hint="eastAsia"/>
        </w:rPr>
        <w:t>DIN</w:t>
      </w:r>
      <w:r>
        <w:rPr>
          <w:rFonts w:hint="eastAsia"/>
        </w:rPr>
        <w:t>导轨。</w:t>
      </w:r>
      <w:r>
        <w:rPr>
          <w:rFonts w:hint="eastAsia"/>
        </w:rPr>
        <w:lastRenderedPageBreak/>
        <w:t>该单元集成了数据缓存（≥</w:t>
      </w:r>
      <w:r>
        <w:rPr>
          <w:rFonts w:hint="eastAsia"/>
        </w:rPr>
        <w:t>30 d</w:t>
      </w:r>
      <w:r>
        <w:rPr>
          <w:rFonts w:hint="eastAsia"/>
        </w:rPr>
        <w:t>）、模型推理与本地告警决策功能，在云端链路中断时仍可独立运行</w:t>
      </w:r>
      <w:r>
        <w:rPr>
          <w:rFonts w:hint="eastAsia"/>
        </w:rPr>
        <w:t>72 h</w:t>
      </w:r>
      <w:r>
        <w:rPr>
          <w:rFonts w:hint="eastAsia"/>
        </w:rPr>
        <w:t>以上；</w:t>
      </w:r>
      <w:proofErr w:type="gramStart"/>
      <w:r>
        <w:rPr>
          <w:rFonts w:hint="eastAsia"/>
        </w:rPr>
        <w:t>算力分配</w:t>
      </w:r>
      <w:proofErr w:type="gramEnd"/>
      <w:r>
        <w:rPr>
          <w:rFonts w:hint="eastAsia"/>
        </w:rPr>
        <w:t>上，模型推理占用约</w:t>
      </w:r>
      <w:r>
        <w:rPr>
          <w:rFonts w:hint="eastAsia"/>
        </w:rPr>
        <w:t>60% GPU</w:t>
      </w:r>
      <w:r>
        <w:rPr>
          <w:rFonts w:hint="eastAsia"/>
        </w:rPr>
        <w:t>资源，其余预留用于功能扩展与模型迭代。云端层依托徐州段既有数据汇聚平台，增设泵房</w:t>
      </w:r>
      <w:proofErr w:type="gramStart"/>
      <w:r>
        <w:rPr>
          <w:rFonts w:hint="eastAsia"/>
        </w:rPr>
        <w:t>群健康</w:t>
      </w:r>
      <w:proofErr w:type="gramEnd"/>
      <w:r>
        <w:rPr>
          <w:rFonts w:hint="eastAsia"/>
        </w:rPr>
        <w:t>档案库与联邦学习协调器：前者记录设备出厂参数、运行时序及故障历史，支持全寿命周期追溯；后者周期性聚合各节点模型参数并下发全局模型，实现跨泵房知识共享与模型持续优化。</w:t>
      </w:r>
    </w:p>
    <w:p w:rsidR="002F60DA" w:rsidRDefault="00802F97">
      <w:pPr>
        <w:pStyle w:val="af5"/>
        <w:spacing w:before="156" w:after="156"/>
      </w:pPr>
      <w:r>
        <w:rPr>
          <w:rFonts w:hint="eastAsia"/>
        </w:rPr>
        <w:t>1.2 5G</w:t>
      </w:r>
      <w:r>
        <w:rPr>
          <w:rFonts w:hint="eastAsia"/>
        </w:rPr>
        <w:t>专网部署</w:t>
      </w:r>
    </w:p>
    <w:p w:rsidR="002F60DA" w:rsidRDefault="00802F97">
      <w:pPr>
        <w:pStyle w:val="a7"/>
        <w:ind w:firstLine="420"/>
      </w:pPr>
      <w:r>
        <w:rPr>
          <w:rFonts w:hint="eastAsia"/>
        </w:rPr>
        <w:t>为满足多模态数据实时回传与安全传输需求，系统依托徐州段已建成的</w:t>
      </w:r>
      <w:r>
        <w:rPr>
          <w:rFonts w:hint="eastAsia"/>
        </w:rPr>
        <w:t>2.6 GHz n41</w:t>
      </w:r>
      <w:r>
        <w:rPr>
          <w:rFonts w:hint="eastAsia"/>
        </w:rPr>
        <w:t>频段</w:t>
      </w:r>
      <w:r>
        <w:rPr>
          <w:rFonts w:hint="eastAsia"/>
        </w:rPr>
        <w:t>5G</w:t>
      </w:r>
      <w:r>
        <w:rPr>
          <w:rFonts w:hint="eastAsia"/>
        </w:rPr>
        <w:t>专网，实现全部</w:t>
      </w:r>
      <w:r>
        <w:rPr>
          <w:rFonts w:hint="eastAsia"/>
        </w:rPr>
        <w:t>18</w:t>
      </w:r>
      <w:r>
        <w:rPr>
          <w:rFonts w:hint="eastAsia"/>
        </w:rPr>
        <w:t>处试点泵房的全覆盖。网络性能实测表明，单泵房上行带宽≥</w:t>
      </w:r>
      <w:r>
        <w:rPr>
          <w:rFonts w:hint="eastAsia"/>
        </w:rPr>
        <w:t>50 Mbps</w:t>
      </w:r>
      <w:r>
        <w:rPr>
          <w:rFonts w:hint="eastAsia"/>
        </w:rPr>
        <w:t>，端到端时延</w:t>
      </w:r>
      <w:r>
        <w:rPr>
          <w:rFonts w:hint="eastAsia"/>
        </w:rPr>
        <w:t xml:space="preserve">&lt;20 </w:t>
      </w:r>
      <w:proofErr w:type="spellStart"/>
      <w:r>
        <w:rPr>
          <w:rFonts w:hint="eastAsia"/>
        </w:rPr>
        <w:t>ms</w:t>
      </w:r>
      <w:proofErr w:type="spellEnd"/>
      <w:r>
        <w:rPr>
          <w:rFonts w:hint="eastAsia"/>
        </w:rPr>
        <w:t>，充分满足边缘盒除</w:t>
      </w:r>
      <w:r>
        <w:rPr>
          <w:rFonts w:hint="eastAsia"/>
        </w:rPr>
        <w:t>1080P</w:t>
      </w:r>
      <w:r>
        <w:rPr>
          <w:rFonts w:hint="eastAsia"/>
        </w:rPr>
        <w:t>视频外的多模态数据回传需求（实际数据量约</w:t>
      </w:r>
      <w:r>
        <w:rPr>
          <w:rFonts w:hint="eastAsia"/>
        </w:rPr>
        <w:t>2 MB/min/</w:t>
      </w:r>
      <w:r>
        <w:rPr>
          <w:rFonts w:hint="eastAsia"/>
        </w:rPr>
        <w:t>台）。在数据安全方面，采用工业级</w:t>
      </w:r>
      <w:r>
        <w:rPr>
          <w:rFonts w:hint="eastAsia"/>
        </w:rPr>
        <w:t>VPN</w:t>
      </w:r>
      <w:proofErr w:type="gramStart"/>
      <w:r>
        <w:rPr>
          <w:rFonts w:hint="eastAsia"/>
        </w:rPr>
        <w:t>结合国密</w:t>
      </w:r>
      <w:proofErr w:type="gramEnd"/>
      <w:r>
        <w:rPr>
          <w:rFonts w:hint="eastAsia"/>
        </w:rPr>
        <w:t>SM4</w:t>
      </w:r>
      <w:r>
        <w:rPr>
          <w:rFonts w:hint="eastAsia"/>
        </w:rPr>
        <w:t>加密算法，构建了从终端到云端的安全传输通道，有效防范数据泄露与非法访问风险，符合铁路关键基础设施网络安全防护要求。</w:t>
      </w:r>
    </w:p>
    <w:p w:rsidR="002F60DA" w:rsidRDefault="00802F97">
      <w:pPr>
        <w:pStyle w:val="af5"/>
        <w:spacing w:before="156" w:after="156"/>
      </w:pPr>
      <w:r>
        <w:rPr>
          <w:rFonts w:hint="eastAsia"/>
        </w:rPr>
        <w:t xml:space="preserve">1.3 </w:t>
      </w:r>
      <w:r>
        <w:rPr>
          <w:rFonts w:hint="eastAsia"/>
        </w:rPr>
        <w:t>与既有智能变频柜的关系</w:t>
      </w:r>
    </w:p>
    <w:p w:rsidR="002F60DA" w:rsidRDefault="007918D6">
      <w:pPr>
        <w:pStyle w:val="a7"/>
        <w:spacing w:after="0"/>
        <w:ind w:firstLine="420"/>
      </w:pPr>
      <w:r>
        <w:rPr>
          <w:rFonts w:hint="eastAsia"/>
        </w:rPr>
        <w:t>本系统作为升级模块</w:t>
      </w:r>
      <w:r w:rsidR="00802F97">
        <w:rPr>
          <w:rFonts w:hint="eastAsia"/>
        </w:rPr>
        <w:t>无缝嵌入既有智能变频柜硬件体系，在共享电源、</w:t>
      </w:r>
      <w:proofErr w:type="gramStart"/>
      <w:r w:rsidR="00802F97">
        <w:rPr>
          <w:rFonts w:hint="eastAsia"/>
        </w:rPr>
        <w:t>母排及</w:t>
      </w:r>
      <w:proofErr w:type="gramEnd"/>
      <w:r w:rsidR="00802F97">
        <w:rPr>
          <w:rFonts w:hint="eastAsia"/>
        </w:rPr>
        <w:t>显示单元的基础上，新增独立的</w:t>
      </w:r>
      <w:r w:rsidR="00802F97">
        <w:rPr>
          <w:rFonts w:hint="eastAsia"/>
        </w:rPr>
        <w:t>AI</w:t>
      </w:r>
      <w:r w:rsidR="00802F97">
        <w:rPr>
          <w:rFonts w:hint="eastAsia"/>
        </w:rPr>
        <w:t>边缘盒与传感线束，确保不影响原有变频控制、</w:t>
      </w:r>
      <w:r w:rsidR="00802F97">
        <w:rPr>
          <w:rFonts w:hint="eastAsia"/>
        </w:rPr>
        <w:t>PLC</w:t>
      </w:r>
      <w:r w:rsidR="00802F97">
        <w:rPr>
          <w:rFonts w:hint="eastAsia"/>
        </w:rPr>
        <w:t>逻辑及</w:t>
      </w:r>
      <w:r w:rsidR="00802F97">
        <w:rPr>
          <w:rFonts w:hint="eastAsia"/>
        </w:rPr>
        <w:t>GPRS</w:t>
      </w:r>
      <w:r w:rsidR="00802F97">
        <w:rPr>
          <w:rFonts w:hint="eastAsia"/>
        </w:rPr>
        <w:t>通信功能。系统采用“双总线独立运行”机制，变频控制总线和</w:t>
      </w:r>
      <w:r w:rsidR="00802F97">
        <w:rPr>
          <w:rFonts w:hint="eastAsia"/>
        </w:rPr>
        <w:t>AI</w:t>
      </w:r>
      <w:r w:rsidR="00802F97">
        <w:rPr>
          <w:rFonts w:hint="eastAsia"/>
        </w:rPr>
        <w:t>预测总线物理隔离、互不干扰，既保障了核心控制功能的可靠性，又赋予了设备智能化预测能力。在运维策略上，硬件阈值告警作为最后一道安全防线，</w:t>
      </w:r>
      <w:r w:rsidR="00802F97">
        <w:rPr>
          <w:rFonts w:hint="eastAsia"/>
        </w:rPr>
        <w:t>AI</w:t>
      </w:r>
      <w:r w:rsidR="00802F97">
        <w:rPr>
          <w:rFonts w:hint="eastAsia"/>
        </w:rPr>
        <w:t>预测则提供更早期的健康退化预警，两者协同构成“阈值兜底</w:t>
      </w:r>
      <w:r w:rsidR="00802F97">
        <w:rPr>
          <w:rFonts w:hint="eastAsia"/>
        </w:rPr>
        <w:t>+AI</w:t>
      </w:r>
      <w:r w:rsidR="00802F97">
        <w:rPr>
          <w:rFonts w:hint="eastAsia"/>
        </w:rPr>
        <w:t>预测”的双通道运维体系，显著提升了设备故障防御纵深与运维响应效率。</w:t>
      </w:r>
    </w:p>
    <w:p w:rsidR="002F60DA" w:rsidRDefault="00802F97">
      <w:pPr>
        <w:pStyle w:val="2"/>
        <w:spacing w:before="156" w:after="156"/>
      </w:pPr>
      <w:r>
        <w:rPr>
          <w:rFonts w:hint="eastAsia"/>
        </w:rPr>
        <w:t xml:space="preserve">2 </w:t>
      </w:r>
      <w:r>
        <w:rPr>
          <w:rFonts w:hint="eastAsia"/>
        </w:rPr>
        <w:t>多模态数据采集</w:t>
      </w:r>
    </w:p>
    <w:p w:rsidR="002F60DA" w:rsidRDefault="00802F97">
      <w:pPr>
        <w:pStyle w:val="a7"/>
        <w:ind w:firstLine="420"/>
      </w:pPr>
      <w:r>
        <w:rPr>
          <w:rFonts w:hint="eastAsia"/>
        </w:rPr>
        <w:t>感知层作为预测性维护系统的</w:t>
      </w:r>
      <w:r w:rsidRPr="007918D6">
        <w:rPr>
          <w:rFonts w:hint="eastAsia"/>
        </w:rPr>
        <w:t>数据</w:t>
      </w:r>
      <w:r w:rsidR="007918D6" w:rsidRPr="007918D6">
        <w:rPr>
          <w:rFonts w:hint="eastAsia"/>
        </w:rPr>
        <w:t>来源</w:t>
      </w:r>
      <w:r w:rsidRPr="007918D6">
        <w:rPr>
          <w:rFonts w:hint="eastAsia"/>
        </w:rPr>
        <w:t>，</w:t>
      </w:r>
      <w:r>
        <w:rPr>
          <w:rFonts w:hint="eastAsia"/>
        </w:rPr>
        <w:t>其采集质量直接决定了后续模型的性能上限。针对铁路给水变频器运行环境复杂、故障特征微弱的特点，本研究构建了涵盖电流、振动、温度三类信号的多模态数据采集体系，通过高精度传感与严格同步机制，为多源异构数据融合提供可靠输入，多模态融合示意如图</w:t>
      </w:r>
      <w:r>
        <w:t>2</w:t>
      </w:r>
      <w:r>
        <w:rPr>
          <w:rFonts w:hint="eastAsia"/>
        </w:rPr>
        <w:t>所示。</w:t>
      </w:r>
    </w:p>
    <w:p w:rsidR="002F60DA" w:rsidRDefault="001456C4" w:rsidP="00AC7882">
      <w:pPr>
        <w:pStyle w:val="aff1"/>
        <w:rPr>
          <w:rFonts w:eastAsiaTheme="minorEastAsia"/>
        </w:rPr>
      </w:pPr>
      <w:r>
        <w:object w:dxaOrig="4830" w:dyaOrig="3225">
          <v:shape id="_x0000_i1047" type="#_x0000_t75" style="width:231.6pt;height:154.85pt" o:ole="">
            <v:imagedata r:id="rId15" o:title=""/>
          </v:shape>
          <o:OLEObject Type="Embed" ProgID="Visio.Drawing.15" ShapeID="_x0000_i1047" DrawAspect="Content" ObjectID="_1845095422" r:id="rId16"/>
        </w:object>
      </w:r>
      <w:r w:rsidR="00802F97">
        <w:rPr>
          <w:rFonts w:eastAsiaTheme="minorEastAsia" w:hint="eastAsia"/>
        </w:rPr>
        <w:t>图</w:t>
      </w:r>
      <w:r w:rsidR="00802F97">
        <w:rPr>
          <w:rFonts w:eastAsiaTheme="minorEastAsia"/>
        </w:rPr>
        <w:t>2</w:t>
      </w:r>
      <w:r w:rsidR="00802F97">
        <w:rPr>
          <w:rFonts w:eastAsiaTheme="minorEastAsia" w:hint="eastAsia"/>
        </w:rPr>
        <w:t xml:space="preserve"> </w:t>
      </w:r>
      <w:r w:rsidR="00802F97">
        <w:rPr>
          <w:rFonts w:eastAsiaTheme="minorEastAsia" w:hint="eastAsia"/>
        </w:rPr>
        <w:t>多模态数据采集与融合流程</w:t>
      </w:r>
    </w:p>
    <w:p w:rsidR="002F60DA" w:rsidRDefault="00802F97">
      <w:pPr>
        <w:ind w:firstLineChars="0" w:firstLine="0"/>
        <w:jc w:val="center"/>
        <w:rPr>
          <w:rFonts w:eastAsiaTheme="minorEastAsia"/>
        </w:rPr>
      </w:pPr>
      <w:r>
        <w:rPr>
          <w:rFonts w:eastAsiaTheme="minorEastAsia"/>
        </w:rPr>
        <w:t>Fig.2 Multi-modal data acquisition and fusion flow</w:t>
      </w:r>
    </w:p>
    <w:p w:rsidR="002F60DA" w:rsidRDefault="00802F97">
      <w:pPr>
        <w:pStyle w:val="af5"/>
        <w:spacing w:before="156" w:after="156"/>
      </w:pPr>
      <w:r>
        <w:rPr>
          <w:rFonts w:hint="eastAsia"/>
        </w:rPr>
        <w:t xml:space="preserve">2.1 </w:t>
      </w:r>
      <w:r>
        <w:rPr>
          <w:rFonts w:hint="eastAsia"/>
        </w:rPr>
        <w:t>电流与振动信号采集</w:t>
      </w:r>
    </w:p>
    <w:p w:rsidR="002F60DA" w:rsidRDefault="00802F97">
      <w:pPr>
        <w:ind w:firstLine="420"/>
      </w:pPr>
      <w:r>
        <w:rPr>
          <w:rFonts w:hint="eastAsia"/>
        </w:rPr>
        <w:t>在电气信号采集方面，系统选用闭环霍尔电流传感器，具备±</w:t>
      </w:r>
      <w:r>
        <w:rPr>
          <w:rFonts w:hint="eastAsia"/>
        </w:rPr>
        <w:t>50 A</w:t>
      </w:r>
      <w:r>
        <w:rPr>
          <w:rFonts w:hint="eastAsia"/>
        </w:rPr>
        <w:t>量程、</w:t>
      </w:r>
      <w:r>
        <w:rPr>
          <w:rFonts w:hint="eastAsia"/>
        </w:rPr>
        <w:t>100 kHz</w:t>
      </w:r>
      <w:r>
        <w:rPr>
          <w:rFonts w:hint="eastAsia"/>
        </w:rPr>
        <w:t>带宽及</w:t>
      </w:r>
      <w:r>
        <w:rPr>
          <w:rFonts w:hint="eastAsia"/>
        </w:rPr>
        <w:t xml:space="preserve">&lt;1 </w:t>
      </w:r>
      <w:r>
        <w:rPr>
          <w:rFonts w:hint="eastAsia"/>
        </w:rPr>
        <w:t>μ</w:t>
      </w:r>
      <w:r>
        <w:rPr>
          <w:rFonts w:hint="eastAsia"/>
        </w:rPr>
        <w:t>s</w:t>
      </w:r>
      <w:r>
        <w:rPr>
          <w:rFonts w:hint="eastAsia"/>
        </w:rPr>
        <w:t>响应时间，能够精准捕捉变频器输出侧的瞬态特征。三相输出母线各部署一只传感器，经</w:t>
      </w:r>
      <w:r>
        <w:rPr>
          <w:rFonts w:hint="eastAsia"/>
        </w:rPr>
        <w:t>BNC</w:t>
      </w:r>
      <w:r>
        <w:rPr>
          <w:rFonts w:hint="eastAsia"/>
        </w:rPr>
        <w:t>同轴线接入边缘盒高速</w:t>
      </w:r>
      <w:r>
        <w:rPr>
          <w:rFonts w:hint="eastAsia"/>
        </w:rPr>
        <w:t>ADC</w:t>
      </w:r>
      <w:r>
        <w:rPr>
          <w:rFonts w:hint="eastAsia"/>
        </w:rPr>
        <w:t>，采样率设定为</w:t>
      </w:r>
      <w:r>
        <w:rPr>
          <w:rFonts w:hint="eastAsia"/>
        </w:rPr>
        <w:t>20 kHz/</w:t>
      </w:r>
      <w:r w:rsidR="007918D6">
        <w:rPr>
          <w:rFonts w:hint="eastAsia"/>
        </w:rPr>
        <w:t>通道</w:t>
      </w:r>
      <w:r>
        <w:rPr>
          <w:rFonts w:hint="eastAsia"/>
        </w:rPr>
        <w:t>。为降低传输带宽压力，原始数据在边缘端完成</w:t>
      </w:r>
      <w:r>
        <w:rPr>
          <w:rFonts w:hint="eastAsia"/>
        </w:rPr>
        <w:t>FFT</w:t>
      </w:r>
      <w:r>
        <w:rPr>
          <w:rFonts w:hint="eastAsia"/>
        </w:rPr>
        <w:t>变换后，仅</w:t>
      </w:r>
      <w:proofErr w:type="gramStart"/>
      <w:r>
        <w:rPr>
          <w:rFonts w:hint="eastAsia"/>
        </w:rPr>
        <w:t>上传基波幅</w:t>
      </w:r>
      <w:proofErr w:type="gramEnd"/>
      <w:r>
        <w:rPr>
          <w:rFonts w:hint="eastAsia"/>
        </w:rPr>
        <w:t>值、各次谐波幅值及谐波畸变率（</w:t>
      </w:r>
      <w:r>
        <w:rPr>
          <w:rFonts w:hint="eastAsia"/>
        </w:rPr>
        <w:t>THD</w:t>
      </w:r>
      <w:r>
        <w:rPr>
          <w:rFonts w:hint="eastAsia"/>
        </w:rPr>
        <w:t>）等</w:t>
      </w:r>
      <w:r>
        <w:rPr>
          <w:rFonts w:hint="eastAsia"/>
        </w:rPr>
        <w:t>12</w:t>
      </w:r>
      <w:r w:rsidR="007918D6">
        <w:rPr>
          <w:rFonts w:hint="eastAsia"/>
        </w:rPr>
        <w:t>维特征向量</w:t>
      </w:r>
      <w:r>
        <w:rPr>
          <w:rFonts w:hint="eastAsia"/>
        </w:rPr>
        <w:t>。</w:t>
      </w:r>
    </w:p>
    <w:p w:rsidR="002F60DA" w:rsidRDefault="00802F97">
      <w:pPr>
        <w:ind w:firstLine="420"/>
      </w:pPr>
      <w:r>
        <w:rPr>
          <w:rFonts w:hint="eastAsia"/>
        </w:rPr>
        <w:t>在机械振动采集方面，采用三轴</w:t>
      </w:r>
      <w:r>
        <w:rPr>
          <w:rFonts w:hint="eastAsia"/>
        </w:rPr>
        <w:t>MEMS</w:t>
      </w:r>
      <w:r>
        <w:rPr>
          <w:rFonts w:hint="eastAsia"/>
        </w:rPr>
        <w:t>加速度计，量程±</w:t>
      </w:r>
      <w:r>
        <w:rPr>
          <w:rFonts w:hint="eastAsia"/>
        </w:rPr>
        <w:t>40 g</w:t>
      </w:r>
      <w:r>
        <w:rPr>
          <w:rFonts w:hint="eastAsia"/>
        </w:rPr>
        <w:t>，最高采样率达</w:t>
      </w:r>
      <w:r>
        <w:rPr>
          <w:rFonts w:hint="eastAsia"/>
        </w:rPr>
        <w:t>10 kHz</w:t>
      </w:r>
      <w:r w:rsidR="007918D6">
        <w:rPr>
          <w:rFonts w:hint="eastAsia"/>
        </w:rPr>
        <w:t>。传感器</w:t>
      </w:r>
      <w:r>
        <w:rPr>
          <w:rFonts w:hint="eastAsia"/>
        </w:rPr>
        <w:t>固定方式安装于变频器外壳顶部、前后及左右</w:t>
      </w:r>
      <w:r>
        <w:rPr>
          <w:rFonts w:hint="eastAsia"/>
        </w:rPr>
        <w:t>4</w:t>
      </w:r>
      <w:r>
        <w:rPr>
          <w:rFonts w:hint="eastAsia"/>
        </w:rPr>
        <w:t>个关键测点，全面覆盖</w:t>
      </w:r>
      <w:r>
        <w:rPr>
          <w:rFonts w:hint="eastAsia"/>
        </w:rPr>
        <w:t>IGBT</w:t>
      </w:r>
      <w:r>
        <w:rPr>
          <w:rFonts w:hint="eastAsia"/>
        </w:rPr>
        <w:t>模块、整流桥、电容组及风扇等核心部件。每个测点同步采集</w:t>
      </w:r>
      <w:r>
        <w:rPr>
          <w:rFonts w:hint="eastAsia"/>
        </w:rPr>
        <w:t>X/Y/Z</w:t>
      </w:r>
      <w:r>
        <w:rPr>
          <w:rFonts w:hint="eastAsia"/>
        </w:rPr>
        <w:t>三轴数据，边缘端提取</w:t>
      </w:r>
      <w:r>
        <w:rPr>
          <w:rFonts w:hint="eastAsia"/>
        </w:rPr>
        <w:t>RMS</w:t>
      </w:r>
      <w:r>
        <w:rPr>
          <w:rFonts w:hint="eastAsia"/>
        </w:rPr>
        <w:t>、峰值因子、频谱熵等</w:t>
      </w:r>
      <w:r>
        <w:rPr>
          <w:rFonts w:hint="eastAsia"/>
        </w:rPr>
        <w:t>9</w:t>
      </w:r>
      <w:proofErr w:type="gramStart"/>
      <w:r w:rsidR="007918D6">
        <w:rPr>
          <w:rFonts w:hint="eastAsia"/>
        </w:rPr>
        <w:t>维时频域</w:t>
      </w:r>
      <w:proofErr w:type="gramEnd"/>
      <w:r w:rsidR="007918D6">
        <w:rPr>
          <w:rFonts w:hint="eastAsia"/>
        </w:rPr>
        <w:t>特征</w:t>
      </w:r>
      <w:r>
        <w:rPr>
          <w:rFonts w:hint="eastAsia"/>
        </w:rPr>
        <w:t>。</w:t>
      </w:r>
    </w:p>
    <w:p w:rsidR="002F60DA" w:rsidRDefault="00802F97">
      <w:pPr>
        <w:pStyle w:val="af5"/>
        <w:spacing w:before="156" w:after="156"/>
      </w:pPr>
      <w:r>
        <w:rPr>
          <w:rFonts w:hint="eastAsia"/>
        </w:rPr>
        <w:t xml:space="preserve">2.2 </w:t>
      </w:r>
      <w:r>
        <w:rPr>
          <w:rFonts w:hint="eastAsia"/>
        </w:rPr>
        <w:t>温度信号采集</w:t>
      </w:r>
    </w:p>
    <w:p w:rsidR="002F60DA" w:rsidRDefault="00802F97">
      <w:pPr>
        <w:ind w:firstLine="420"/>
      </w:pPr>
      <w:r>
        <w:rPr>
          <w:rFonts w:hint="eastAsia"/>
        </w:rPr>
        <w:t>温度是反映变频器</w:t>
      </w:r>
      <w:proofErr w:type="gramStart"/>
      <w:r>
        <w:rPr>
          <w:rFonts w:hint="eastAsia"/>
        </w:rPr>
        <w:t>热管理</w:t>
      </w:r>
      <w:proofErr w:type="gramEnd"/>
      <w:r>
        <w:rPr>
          <w:rFonts w:hint="eastAsia"/>
        </w:rPr>
        <w:t>状态与早期接触故障的关键参量。系统在整流桥正极、</w:t>
      </w:r>
      <w:r>
        <w:rPr>
          <w:rFonts w:hint="eastAsia"/>
        </w:rPr>
        <w:t>IGBT</w:t>
      </w:r>
      <w:r>
        <w:rPr>
          <w:rFonts w:hint="eastAsia"/>
        </w:rPr>
        <w:t>散热基板、电容组顶盖、风扇出风口、轴承座（水冷型）</w:t>
      </w:r>
      <w:proofErr w:type="gramStart"/>
      <w:r>
        <w:rPr>
          <w:rFonts w:hint="eastAsia"/>
        </w:rPr>
        <w:t>及柜内环境</w:t>
      </w:r>
      <w:proofErr w:type="gramEnd"/>
      <w:r>
        <w:rPr>
          <w:rFonts w:hint="eastAsia"/>
        </w:rPr>
        <w:t>等</w:t>
      </w:r>
      <w:r>
        <w:rPr>
          <w:rFonts w:hint="eastAsia"/>
        </w:rPr>
        <w:t>6</w:t>
      </w:r>
      <w:r>
        <w:rPr>
          <w:rFonts w:hint="eastAsia"/>
        </w:rPr>
        <w:t>个关键点布设贴片温度传感器，采集周期为</w:t>
      </w:r>
      <w:r w:rsidR="007918D6">
        <w:rPr>
          <w:rFonts w:hint="eastAsia"/>
        </w:rPr>
        <w:t>1</w:t>
      </w:r>
      <w:r w:rsidR="007918D6">
        <w:rPr>
          <w:rFonts w:hint="eastAsia"/>
        </w:rPr>
        <w:t>秒</w:t>
      </w:r>
      <w:r>
        <w:rPr>
          <w:rFonts w:hint="eastAsia"/>
        </w:rPr>
        <w:t>。特别地，温升速率</w:t>
      </w:r>
      <w:proofErr w:type="spellStart"/>
      <w:r>
        <w:rPr>
          <w:rFonts w:hint="eastAsia"/>
        </w:rPr>
        <w:t>dT</w:t>
      </w:r>
      <w:proofErr w:type="spellEnd"/>
      <w:r>
        <w:rPr>
          <w:rFonts w:hint="eastAsia"/>
        </w:rPr>
        <w:t>/</w:t>
      </w:r>
      <w:proofErr w:type="spellStart"/>
      <w:r>
        <w:rPr>
          <w:rFonts w:hint="eastAsia"/>
        </w:rPr>
        <w:t>dt</w:t>
      </w:r>
      <w:proofErr w:type="spellEnd"/>
      <w:r w:rsidR="007918D6">
        <w:rPr>
          <w:rFonts w:hint="eastAsia"/>
        </w:rPr>
        <w:t>对接触不良等早期故障具有显著敏感性，</w:t>
      </w:r>
      <w:r>
        <w:rPr>
          <w:rFonts w:hint="eastAsia"/>
        </w:rPr>
        <w:t>纳入特征工程重点</w:t>
      </w:r>
      <w:proofErr w:type="gramStart"/>
      <w:r>
        <w:rPr>
          <w:rFonts w:hint="eastAsia"/>
        </w:rPr>
        <w:t>考量</w:t>
      </w:r>
      <w:proofErr w:type="gramEnd"/>
      <w:r>
        <w:rPr>
          <w:rFonts w:hint="eastAsia"/>
        </w:rPr>
        <w:t>。</w:t>
      </w:r>
    </w:p>
    <w:p w:rsidR="002F60DA" w:rsidRDefault="00802F97">
      <w:pPr>
        <w:pStyle w:val="af5"/>
        <w:spacing w:before="156" w:after="156"/>
      </w:pPr>
      <w:r>
        <w:rPr>
          <w:rFonts w:hint="eastAsia"/>
        </w:rPr>
        <w:t xml:space="preserve">2.3 </w:t>
      </w:r>
      <w:r>
        <w:rPr>
          <w:rFonts w:hint="eastAsia"/>
        </w:rPr>
        <w:t>同步与对齐机制</w:t>
      </w:r>
    </w:p>
    <w:p w:rsidR="002F60DA" w:rsidRDefault="00802F97">
      <w:pPr>
        <w:ind w:firstLine="420"/>
      </w:pPr>
      <w:r>
        <w:rPr>
          <w:rFonts w:hint="eastAsia"/>
        </w:rPr>
        <w:t>鉴于电流（</w:t>
      </w:r>
      <w:r>
        <w:rPr>
          <w:rFonts w:hint="eastAsia"/>
        </w:rPr>
        <w:t>20 kHz</w:t>
      </w:r>
      <w:r>
        <w:rPr>
          <w:rFonts w:hint="eastAsia"/>
        </w:rPr>
        <w:t>）、振动（</w:t>
      </w:r>
      <w:r>
        <w:rPr>
          <w:rFonts w:hint="eastAsia"/>
        </w:rPr>
        <w:t>10 kHz</w:t>
      </w:r>
      <w:r>
        <w:rPr>
          <w:rFonts w:hint="eastAsia"/>
        </w:rPr>
        <w:t>）与温度（</w:t>
      </w:r>
      <w:r>
        <w:rPr>
          <w:rFonts w:hint="eastAsia"/>
        </w:rPr>
        <w:t>1 Hz</w:t>
      </w:r>
      <w:r>
        <w:rPr>
          <w:rFonts w:hint="eastAsia"/>
        </w:rPr>
        <w:t>）三类信号采样频率差异显著，系统采用</w:t>
      </w:r>
      <w:r>
        <w:rPr>
          <w:rFonts w:hint="eastAsia"/>
        </w:rPr>
        <w:t>IEEE 1588 PTP</w:t>
      </w:r>
      <w:r>
        <w:rPr>
          <w:rFonts w:hint="eastAsia"/>
        </w:rPr>
        <w:t>协议实现亚</w:t>
      </w:r>
      <w:proofErr w:type="gramStart"/>
      <w:r>
        <w:rPr>
          <w:rFonts w:hint="eastAsia"/>
        </w:rPr>
        <w:t>微秒级</w:t>
      </w:r>
      <w:proofErr w:type="gramEnd"/>
      <w:r>
        <w:rPr>
          <w:rFonts w:hint="eastAsia"/>
        </w:rPr>
        <w:t>时钟同步，所有采集数据均携带</w:t>
      </w:r>
      <w:proofErr w:type="gramStart"/>
      <w:r>
        <w:rPr>
          <w:rFonts w:hint="eastAsia"/>
        </w:rPr>
        <w:t>统一时戳上</w:t>
      </w:r>
      <w:proofErr w:type="gramEnd"/>
      <w:r>
        <w:rPr>
          <w:rFonts w:hint="eastAsia"/>
        </w:rPr>
        <w:t>传，从源头保障多模态数据的时空一致性。在边缘计算节点，以电流信号周期为基准进行数据切片，每</w:t>
      </w:r>
      <w:r>
        <w:rPr>
          <w:rFonts w:hint="eastAsia"/>
        </w:rPr>
        <w:t>1024</w:t>
      </w:r>
      <w:r>
        <w:rPr>
          <w:rFonts w:hint="eastAsia"/>
        </w:rPr>
        <w:t>个采样点（约</w:t>
      </w:r>
      <w:r>
        <w:rPr>
          <w:rFonts w:hint="eastAsia"/>
        </w:rPr>
        <w:t xml:space="preserve">50 </w:t>
      </w:r>
      <w:proofErr w:type="spellStart"/>
      <w:r>
        <w:rPr>
          <w:rFonts w:hint="eastAsia"/>
        </w:rPr>
        <w:t>ms</w:t>
      </w:r>
      <w:proofErr w:type="spellEnd"/>
      <w:r>
        <w:rPr>
          <w:rFonts w:hint="eastAsia"/>
        </w:rPr>
        <w:t>）构成一个标准样本单元；振动与温度数据按</w:t>
      </w:r>
      <w:r>
        <w:rPr>
          <w:rFonts w:hint="eastAsia"/>
        </w:rPr>
        <w:lastRenderedPageBreak/>
        <w:t>相同时间窗口进行对齐插值，形成结构化的多模态输入张量。样本单元经标准化处理后，可直接送入模型进行训练或实时推理，有效解决了异构信号融合中的时序错位问题，为后续</w:t>
      </w:r>
      <w:r>
        <w:rPr>
          <w:rFonts w:hint="eastAsia"/>
        </w:rPr>
        <w:t>RUL</w:t>
      </w:r>
      <w:r>
        <w:rPr>
          <w:rFonts w:hint="eastAsia"/>
        </w:rPr>
        <w:t>预测与故障诊断奠定了坚实的数据基础。</w:t>
      </w:r>
    </w:p>
    <w:p w:rsidR="002F60DA" w:rsidRDefault="00802F97">
      <w:pPr>
        <w:pStyle w:val="2"/>
        <w:spacing w:before="156" w:after="156"/>
      </w:pPr>
      <w:r>
        <w:rPr>
          <w:rFonts w:hint="eastAsia"/>
        </w:rPr>
        <w:t xml:space="preserve">3 </w:t>
      </w:r>
      <w:proofErr w:type="gramStart"/>
      <w:r>
        <w:rPr>
          <w:rFonts w:hint="eastAsia"/>
        </w:rPr>
        <w:t>边缘端轻量化</w:t>
      </w:r>
      <w:proofErr w:type="gramEnd"/>
      <w:r>
        <w:rPr>
          <w:rFonts w:hint="eastAsia"/>
        </w:rPr>
        <w:t>预测模型</w:t>
      </w:r>
    </w:p>
    <w:p w:rsidR="002F60DA" w:rsidRDefault="00802F97">
      <w:pPr>
        <w:ind w:firstLine="420"/>
      </w:pPr>
      <w:r>
        <w:rPr>
          <w:rFonts w:hint="eastAsia"/>
        </w:rPr>
        <w:t>针对铁路给水变频柜边缘计算节点算力、内存及功耗受限的工程约束，复杂深度学习模型难以直接部署应用。本研究设计了面向变频器健康预测的轻量化</w:t>
      </w:r>
      <w:r>
        <w:rPr>
          <w:rFonts w:hint="eastAsia"/>
        </w:rPr>
        <w:t>1D-CNN+BiLSTM+Attention</w:t>
      </w:r>
      <w:r>
        <w:rPr>
          <w:rFonts w:hint="eastAsia"/>
        </w:rPr>
        <w:t>模型，在保障预测精度的前提下实现了模型体积与推理时延的优化，模型结构如图</w:t>
      </w:r>
      <w:r>
        <w:t>3</w:t>
      </w:r>
      <w:r>
        <w:rPr>
          <w:rFonts w:hint="eastAsia"/>
        </w:rPr>
        <w:t>所示。</w:t>
      </w:r>
    </w:p>
    <w:p w:rsidR="002F60DA" w:rsidRDefault="00580C91">
      <w:pPr>
        <w:pStyle w:val="aff1"/>
      </w:pPr>
      <w:r>
        <w:object w:dxaOrig="3390" w:dyaOrig="3601">
          <v:shape id="_x0000_i1027" type="#_x0000_t75" style="width:205.8pt;height:219.4pt" o:ole="">
            <v:imagedata r:id="rId17" o:title=""/>
          </v:shape>
          <o:OLEObject Type="Embed" ProgID="Visio.Drawing.15" ShapeID="_x0000_i1027" DrawAspect="Content" ObjectID="_1845095423" r:id="rId18"/>
        </w:object>
      </w:r>
    </w:p>
    <w:p w:rsidR="002F60DA" w:rsidRDefault="00802F97">
      <w:pPr>
        <w:ind w:firstLineChars="0" w:firstLine="0"/>
        <w:jc w:val="center"/>
        <w:rPr>
          <w:rFonts w:eastAsiaTheme="minorEastAsia"/>
        </w:rPr>
      </w:pPr>
      <w:r>
        <w:rPr>
          <w:rFonts w:eastAsiaTheme="minorEastAsia" w:hint="eastAsia"/>
        </w:rPr>
        <w:t>图</w:t>
      </w:r>
      <w:r>
        <w:rPr>
          <w:rFonts w:eastAsiaTheme="minorEastAsia"/>
        </w:rPr>
        <w:t>3</w:t>
      </w:r>
      <w:r>
        <w:rPr>
          <w:rFonts w:eastAsiaTheme="minorEastAsia" w:hint="eastAsia"/>
        </w:rPr>
        <w:t xml:space="preserve"> </w:t>
      </w:r>
      <w:proofErr w:type="gramStart"/>
      <w:r>
        <w:rPr>
          <w:rFonts w:eastAsiaTheme="minorEastAsia" w:hint="eastAsia"/>
        </w:rPr>
        <w:t>边缘端轻量化</w:t>
      </w:r>
      <w:proofErr w:type="gramEnd"/>
      <w:r>
        <w:rPr>
          <w:rFonts w:eastAsiaTheme="minorEastAsia" w:hint="eastAsia"/>
        </w:rPr>
        <w:t>RUL</w:t>
      </w:r>
      <w:r>
        <w:rPr>
          <w:rFonts w:eastAsiaTheme="minorEastAsia" w:hint="eastAsia"/>
        </w:rPr>
        <w:t>预测模型结构</w:t>
      </w:r>
    </w:p>
    <w:p w:rsidR="002F60DA" w:rsidRDefault="00802F97">
      <w:pPr>
        <w:ind w:firstLineChars="0" w:firstLine="0"/>
        <w:jc w:val="center"/>
        <w:rPr>
          <w:rFonts w:eastAsiaTheme="minorEastAsia"/>
        </w:rPr>
      </w:pPr>
      <w:r>
        <w:rPr>
          <w:rFonts w:eastAsiaTheme="minorEastAsia"/>
        </w:rPr>
        <w:t>Fig.3 Structure of lightweight RUL prediction model on edge</w:t>
      </w:r>
    </w:p>
    <w:p w:rsidR="002F60DA" w:rsidRDefault="00802F97">
      <w:pPr>
        <w:pStyle w:val="af5"/>
        <w:spacing w:before="156" w:after="156"/>
      </w:pPr>
      <w:r>
        <w:rPr>
          <w:rFonts w:hint="eastAsia"/>
        </w:rPr>
        <w:t xml:space="preserve">3.1 </w:t>
      </w:r>
      <w:r>
        <w:rPr>
          <w:rFonts w:hint="eastAsia"/>
        </w:rPr>
        <w:t>模型结构设计</w:t>
      </w:r>
      <w:bookmarkStart w:id="0" w:name="_GoBack"/>
      <w:bookmarkEnd w:id="0"/>
    </w:p>
    <w:p w:rsidR="002F60DA" w:rsidRDefault="00802F97">
      <w:pPr>
        <w:ind w:firstLine="420"/>
      </w:pPr>
      <w:r>
        <w:rPr>
          <w:rFonts w:hint="eastAsia"/>
        </w:rPr>
        <w:t>模型输入层接收三路并行时序信号：三相电流（</w:t>
      </w:r>
      <w:r>
        <w:rPr>
          <w:rFonts w:hint="eastAsia"/>
        </w:rPr>
        <w:t>1</w:t>
      </w:r>
      <w:r>
        <w:rPr>
          <w:rFonts w:hint="eastAsia"/>
        </w:rPr>
        <w:t>×</w:t>
      </w:r>
      <w:r>
        <w:rPr>
          <w:rFonts w:hint="eastAsia"/>
        </w:rPr>
        <w:t>1024</w:t>
      </w:r>
      <w:r>
        <w:rPr>
          <w:rFonts w:hint="eastAsia"/>
        </w:rPr>
        <w:t>×</w:t>
      </w:r>
      <w:r>
        <w:rPr>
          <w:rFonts w:hint="eastAsia"/>
        </w:rPr>
        <w:t>3</w:t>
      </w:r>
      <w:r>
        <w:rPr>
          <w:rFonts w:hint="eastAsia"/>
        </w:rPr>
        <w:t>）、三轴振动（</w:t>
      </w:r>
      <w:r>
        <w:rPr>
          <w:rFonts w:hint="eastAsia"/>
        </w:rPr>
        <w:t>1</w:t>
      </w:r>
      <w:r>
        <w:rPr>
          <w:rFonts w:hint="eastAsia"/>
        </w:rPr>
        <w:t>×</w:t>
      </w:r>
      <w:r>
        <w:rPr>
          <w:rFonts w:hint="eastAsia"/>
        </w:rPr>
        <w:t>1024</w:t>
      </w:r>
      <w:r>
        <w:rPr>
          <w:rFonts w:hint="eastAsia"/>
        </w:rPr>
        <w:t>×</w:t>
      </w:r>
      <w:r>
        <w:rPr>
          <w:rFonts w:hint="eastAsia"/>
        </w:rPr>
        <w:t>3</w:t>
      </w:r>
      <w:r>
        <w:rPr>
          <w:rFonts w:hint="eastAsia"/>
        </w:rPr>
        <w:t>）及</w:t>
      </w:r>
      <w:r>
        <w:rPr>
          <w:rFonts w:hint="eastAsia"/>
        </w:rPr>
        <w:t>6</w:t>
      </w:r>
      <w:r>
        <w:rPr>
          <w:rFonts w:hint="eastAsia"/>
        </w:rPr>
        <w:t>测点温度（</w:t>
      </w:r>
      <w:r>
        <w:rPr>
          <w:rFonts w:hint="eastAsia"/>
        </w:rPr>
        <w:t>1</w:t>
      </w:r>
      <w:r>
        <w:rPr>
          <w:rFonts w:hint="eastAsia"/>
        </w:rPr>
        <w:t>×</w:t>
      </w:r>
      <w:r>
        <w:rPr>
          <w:rFonts w:hint="eastAsia"/>
        </w:rPr>
        <w:t>600</w:t>
      </w:r>
      <w:r>
        <w:rPr>
          <w:rFonts w:hint="eastAsia"/>
        </w:rPr>
        <w:t>×</w:t>
      </w:r>
      <w:r>
        <w:rPr>
          <w:rFonts w:hint="eastAsia"/>
        </w:rPr>
        <w:t>6</w:t>
      </w:r>
      <w:r>
        <w:rPr>
          <w:rFonts w:hint="eastAsia"/>
        </w:rPr>
        <w:t>）。特征提取阶段，</w:t>
      </w:r>
      <w:r>
        <w:rPr>
          <w:rFonts w:hint="eastAsia"/>
        </w:rPr>
        <w:t>1D-CNN</w:t>
      </w:r>
      <w:r>
        <w:rPr>
          <w:rFonts w:hint="eastAsia"/>
        </w:rPr>
        <w:t>层采用</w:t>
      </w:r>
      <w:r>
        <w:rPr>
          <w:rFonts w:hint="eastAsia"/>
        </w:rPr>
        <w:t>3/5/7</w:t>
      </w:r>
      <w:r>
        <w:rPr>
          <w:rFonts w:hint="eastAsia"/>
        </w:rPr>
        <w:t>三种卷积核并联的多尺度结构，通道数按</w:t>
      </w:r>
      <w:r>
        <w:rPr>
          <w:rFonts w:hint="eastAsia"/>
        </w:rPr>
        <w:t>32</w:t>
      </w:r>
      <w:r w:rsidR="007918D6">
        <w:rPr>
          <w:rFonts w:hint="eastAsia"/>
        </w:rPr>
        <w:t>、</w:t>
      </w:r>
      <w:r>
        <w:rPr>
          <w:rFonts w:hint="eastAsia"/>
        </w:rPr>
        <w:t>64</w:t>
      </w:r>
      <w:r w:rsidR="007918D6">
        <w:rPr>
          <w:rFonts w:hint="eastAsia"/>
        </w:rPr>
        <w:t>、</w:t>
      </w:r>
      <w:r>
        <w:rPr>
          <w:rFonts w:hint="eastAsia"/>
        </w:rPr>
        <w:t>128</w:t>
      </w:r>
      <w:r>
        <w:rPr>
          <w:rFonts w:hint="eastAsia"/>
        </w:rPr>
        <w:t>逐级递增，以捕获不同尺度的局部时</w:t>
      </w:r>
      <w:proofErr w:type="gramStart"/>
      <w:r>
        <w:rPr>
          <w:rFonts w:hint="eastAsia"/>
        </w:rPr>
        <w:t>频</w:t>
      </w:r>
      <w:proofErr w:type="gramEnd"/>
      <w:r>
        <w:rPr>
          <w:rFonts w:hint="eastAsia"/>
        </w:rPr>
        <w:t>特征；</w:t>
      </w:r>
      <w:proofErr w:type="spellStart"/>
      <w:r>
        <w:rPr>
          <w:rFonts w:hint="eastAsia"/>
        </w:rPr>
        <w:t>BiLSTM</w:t>
      </w:r>
      <w:proofErr w:type="spellEnd"/>
      <w:r>
        <w:rPr>
          <w:rFonts w:hint="eastAsia"/>
        </w:rPr>
        <w:t>层包含</w:t>
      </w:r>
      <w:r>
        <w:rPr>
          <w:rFonts w:hint="eastAsia"/>
        </w:rPr>
        <w:t>128+128</w:t>
      </w:r>
      <w:r>
        <w:rPr>
          <w:rFonts w:hint="eastAsia"/>
        </w:rPr>
        <w:t>个隐藏单元，通过前向与反向双向建模捕捉长期时序依赖关系。为提升关键故障特征的响应灵敏度，引入</w:t>
      </w:r>
      <w:r>
        <w:rPr>
          <w:rFonts w:hint="eastAsia"/>
        </w:rPr>
        <w:t>Attention</w:t>
      </w:r>
      <w:r>
        <w:rPr>
          <w:rFonts w:hint="eastAsia"/>
        </w:rPr>
        <w:t>机制对时间步进行自适应加权，权重计算：</w:t>
      </w:r>
    </w:p>
    <w:p w:rsidR="002F60DA" w:rsidRDefault="00802F97">
      <w:pPr>
        <w:ind w:firstLineChars="0" w:firstLine="0"/>
      </w:pPr>
      <w:r>
        <w:rPr>
          <w:position w:val="-50"/>
        </w:rPr>
        <w:object w:dxaOrig="1617" w:dyaOrig="883">
          <v:shape id="_x0000_i1028" type="#_x0000_t75" style="width:80.15pt;height:44.15pt" o:ole="">
            <v:imagedata r:id="rId19" o:title=""/>
          </v:shape>
          <o:OLEObject Type="Embed" ProgID="Equation.DSMT4" ShapeID="_x0000_i1028" DrawAspect="Content" ObjectID="_1845095424" r:id="rId20"/>
        </w:object>
      </w:r>
      <w:r>
        <w:t xml:space="preserve"> </w:t>
      </w:r>
      <w:r>
        <w:rPr>
          <w:rFonts w:hint="eastAsia"/>
        </w:rPr>
        <w:t>（</w:t>
      </w:r>
      <w:r>
        <w:rPr>
          <w:rFonts w:hint="eastAsia"/>
        </w:rPr>
        <w:t>1</w:t>
      </w:r>
      <w:r>
        <w:rPr>
          <w:rFonts w:hint="eastAsia"/>
        </w:rPr>
        <w:t>）</w:t>
      </w:r>
    </w:p>
    <w:p w:rsidR="002F60DA" w:rsidRDefault="00802F97">
      <w:pPr>
        <w:ind w:firstLine="420"/>
      </w:pPr>
      <w:r>
        <w:rPr>
          <w:rFonts w:hint="eastAsia"/>
        </w:rPr>
        <w:lastRenderedPageBreak/>
        <w:t>多模态融合层将三路特征按注意力权重加权求和，实现异构信息的自适应融合：</w:t>
      </w:r>
    </w:p>
    <w:p w:rsidR="002F60DA" w:rsidRDefault="00802F97">
      <w:pPr>
        <w:ind w:firstLineChars="0" w:firstLine="0"/>
      </w:pPr>
      <w:r>
        <w:rPr>
          <w:position w:val="-14"/>
        </w:rPr>
        <w:object w:dxaOrig="3641" w:dyaOrig="380">
          <v:shape id="_x0000_i1029" type="#_x0000_t75" style="width:182.7pt;height:19pt" o:ole="">
            <v:imagedata r:id="rId21" o:title=""/>
          </v:shape>
          <o:OLEObject Type="Embed" ProgID="Equation.DSMT4" ShapeID="_x0000_i1029" DrawAspect="Content" ObjectID="_1845095425" r:id="rId22"/>
        </w:object>
      </w:r>
      <w:r>
        <w:t xml:space="preserve"> </w:t>
      </w:r>
      <w:r>
        <w:rPr>
          <w:rFonts w:hint="eastAsia"/>
        </w:rPr>
        <w:t>（</w:t>
      </w:r>
      <w:r>
        <w:rPr>
          <w:rFonts w:hint="eastAsia"/>
        </w:rPr>
        <w:t>2</w:t>
      </w:r>
      <w:r>
        <w:rPr>
          <w:rFonts w:hint="eastAsia"/>
        </w:rPr>
        <w:t>）</w:t>
      </w:r>
    </w:p>
    <w:p w:rsidR="002F60DA" w:rsidRDefault="00802F97">
      <w:pPr>
        <w:ind w:firstLine="420"/>
      </w:pPr>
      <w:r>
        <w:rPr>
          <w:rFonts w:hint="eastAsia"/>
        </w:rPr>
        <w:t>其中权重</w:t>
      </w:r>
      <w:r>
        <w:rPr>
          <w:position w:val="-12"/>
        </w:rPr>
        <w:object w:dxaOrig="937" w:dyaOrig="367">
          <v:shape id="_x0000_i1030" type="#_x0000_t75" style="width:46.85pt;height:19pt" o:ole="">
            <v:imagedata r:id="rId23" o:title=""/>
          </v:shape>
          <o:OLEObject Type="Embed" ProgID="Equation.DSMT4" ShapeID="_x0000_i1030" DrawAspect="Content" ObjectID="_1845095426" r:id="rId24"/>
        </w:object>
      </w:r>
      <w:r>
        <w:rPr>
          <w:rFonts w:hint="eastAsia"/>
        </w:rPr>
        <w:t>且</w:t>
      </w:r>
      <w:r>
        <w:rPr>
          <w:position w:val="-14"/>
        </w:rPr>
        <w:object w:dxaOrig="897" w:dyaOrig="394">
          <v:shape id="_x0000_i1031" type="#_x0000_t75" style="width:44.85pt;height:19.7pt" o:ole="">
            <v:imagedata r:id="rId25" o:title=""/>
          </v:shape>
          <o:OLEObject Type="Embed" ProgID="Equation.DSMT4" ShapeID="_x0000_i1031" DrawAspect="Content" ObjectID="_1845095427" r:id="rId26"/>
        </w:object>
      </w:r>
      <w:r>
        <w:rPr>
          <w:rFonts w:hint="eastAsia"/>
        </w:rPr>
        <w:t>，由</w:t>
      </w:r>
      <w:r>
        <w:rPr>
          <w:rFonts w:hint="eastAsia"/>
        </w:rPr>
        <w:t>Attention</w:t>
      </w:r>
      <w:r>
        <w:rPr>
          <w:rFonts w:hint="eastAsia"/>
        </w:rPr>
        <w:t>层动态学习确定。模型最终输出</w:t>
      </w:r>
      <w:proofErr w:type="gramStart"/>
      <w:r>
        <w:rPr>
          <w:rFonts w:hint="eastAsia"/>
        </w:rPr>
        <w:t>双任务</w:t>
      </w:r>
      <w:proofErr w:type="gramEnd"/>
      <w:r>
        <w:rPr>
          <w:rFonts w:hint="eastAsia"/>
        </w:rPr>
        <w:t>结果：剩余使用寿命（</w:t>
      </w:r>
      <w:r>
        <w:rPr>
          <w:rFonts w:hint="eastAsia"/>
        </w:rPr>
        <w:t>RUL</w:t>
      </w:r>
      <w:r>
        <w:rPr>
          <w:rFonts w:hint="eastAsia"/>
        </w:rPr>
        <w:t>）回归值（单位：小时）；</w:t>
      </w:r>
      <w:r>
        <w:rPr>
          <w:rFonts w:hint="eastAsia"/>
        </w:rPr>
        <w:t>5</w:t>
      </w:r>
      <w:r>
        <w:rPr>
          <w:rFonts w:hint="eastAsia"/>
        </w:rPr>
        <w:t>类故障分类概率（正常</w:t>
      </w:r>
      <w:r>
        <w:rPr>
          <w:rFonts w:hint="eastAsia"/>
        </w:rPr>
        <w:t>/</w:t>
      </w:r>
      <w:r>
        <w:rPr>
          <w:rFonts w:hint="eastAsia"/>
        </w:rPr>
        <w:t>轴承磨损</w:t>
      </w:r>
      <w:r>
        <w:rPr>
          <w:rFonts w:hint="eastAsia"/>
        </w:rPr>
        <w:t>/IGBT</w:t>
      </w:r>
      <w:r>
        <w:rPr>
          <w:rFonts w:hint="eastAsia"/>
        </w:rPr>
        <w:t>老化</w:t>
      </w:r>
      <w:r>
        <w:rPr>
          <w:rFonts w:hint="eastAsia"/>
        </w:rPr>
        <w:t>/</w:t>
      </w:r>
      <w:r>
        <w:rPr>
          <w:rFonts w:hint="eastAsia"/>
        </w:rPr>
        <w:t>电容退化</w:t>
      </w:r>
      <w:r>
        <w:rPr>
          <w:rFonts w:hint="eastAsia"/>
        </w:rPr>
        <w:t>/</w:t>
      </w:r>
      <w:r>
        <w:rPr>
          <w:rFonts w:hint="eastAsia"/>
        </w:rPr>
        <w:t>风扇异常），为运</w:t>
      </w:r>
      <w:proofErr w:type="gramStart"/>
      <w:r>
        <w:rPr>
          <w:rFonts w:hint="eastAsia"/>
        </w:rPr>
        <w:t>维决策</w:t>
      </w:r>
      <w:proofErr w:type="gramEnd"/>
      <w:r>
        <w:rPr>
          <w:rFonts w:hint="eastAsia"/>
        </w:rPr>
        <w:t>提供量化依据。</w:t>
      </w:r>
    </w:p>
    <w:p w:rsidR="002F60DA" w:rsidRDefault="00802F97">
      <w:pPr>
        <w:pStyle w:val="af5"/>
        <w:spacing w:before="156" w:after="156"/>
      </w:pPr>
      <w:r>
        <w:rPr>
          <w:rFonts w:hint="eastAsia"/>
        </w:rPr>
        <w:t xml:space="preserve">3.2 </w:t>
      </w:r>
      <w:r>
        <w:rPr>
          <w:rFonts w:hint="eastAsia"/>
        </w:rPr>
        <w:t>多目标损失函数</w:t>
      </w:r>
    </w:p>
    <w:p w:rsidR="002F60DA" w:rsidRDefault="00802F97">
      <w:pPr>
        <w:ind w:firstLine="420"/>
      </w:pPr>
      <w:r>
        <w:rPr>
          <w:rFonts w:hint="eastAsia"/>
        </w:rPr>
        <w:t>为兼顾回归精度、分类均衡性与预测稳定性，总损失函数设计为三项加权和：</w:t>
      </w:r>
    </w:p>
    <w:p w:rsidR="002F60DA" w:rsidRDefault="00802F97">
      <w:pPr>
        <w:ind w:firstLineChars="0" w:firstLine="0"/>
      </w:pPr>
      <w:r>
        <w:rPr>
          <w:position w:val="-12"/>
        </w:rPr>
        <w:object w:dxaOrig="3002" w:dyaOrig="367">
          <v:shape id="_x0000_i1032" type="#_x0000_t75" style="width:150.8pt;height:19pt" o:ole="">
            <v:imagedata r:id="rId27" o:title=""/>
          </v:shape>
          <o:OLEObject Type="Embed" ProgID="Equation.DSMT4" ShapeID="_x0000_i1032" DrawAspect="Content" ObjectID="_1845095428" r:id="rId28"/>
        </w:object>
      </w:r>
      <w:r>
        <w:t xml:space="preserve"> </w:t>
      </w:r>
      <w:r>
        <w:rPr>
          <w:rFonts w:hint="eastAsia"/>
        </w:rPr>
        <w:t>（</w:t>
      </w:r>
      <w:r>
        <w:rPr>
          <w:rFonts w:hint="eastAsia"/>
        </w:rPr>
        <w:t>3</w:t>
      </w:r>
      <w:r>
        <w:rPr>
          <w:rFonts w:hint="eastAsia"/>
        </w:rPr>
        <w:t>）</w:t>
      </w:r>
    </w:p>
    <w:p w:rsidR="002F60DA" w:rsidRDefault="00802F97">
      <w:pPr>
        <w:ind w:firstLineChars="0" w:firstLine="0"/>
      </w:pPr>
      <w:r>
        <w:rPr>
          <w:rFonts w:hint="eastAsia"/>
        </w:rPr>
        <w:t>其中</w:t>
      </w:r>
      <w:r>
        <w:rPr>
          <w:position w:val="-12"/>
        </w:rPr>
        <w:object w:dxaOrig="503" w:dyaOrig="367">
          <v:shape id="_x0000_i1033" type="#_x0000_t75" style="width:25.15pt;height:19pt" o:ole="">
            <v:imagedata r:id="rId29" o:title=""/>
          </v:shape>
          <o:OLEObject Type="Embed" ProgID="Equation.DSMT4" ShapeID="_x0000_i1033" DrawAspect="Content" ObjectID="_1845095429" r:id="rId30"/>
        </w:object>
      </w:r>
      <w:r>
        <w:rPr>
          <w:rFonts w:hint="eastAsia"/>
        </w:rPr>
        <w:t>为</w:t>
      </w:r>
      <w:r>
        <w:rPr>
          <w:rFonts w:hint="eastAsia"/>
        </w:rPr>
        <w:t>MSE</w:t>
      </w:r>
      <w:r>
        <w:rPr>
          <w:rFonts w:hint="eastAsia"/>
        </w:rPr>
        <w:t>回归损失；</w:t>
      </w:r>
      <w:r>
        <w:rPr>
          <w:position w:val="-12"/>
        </w:rPr>
        <w:object w:dxaOrig="367" w:dyaOrig="367">
          <v:shape id="_x0000_i1034" type="#_x0000_t75" style="width:19pt;height:19pt" o:ole="">
            <v:imagedata r:id="rId31" o:title=""/>
          </v:shape>
          <o:OLEObject Type="Embed" ProgID="Equation.DSMT4" ShapeID="_x0000_i1034" DrawAspect="Content" ObjectID="_1845095430" r:id="rId32"/>
        </w:object>
      </w:r>
      <w:r>
        <w:rPr>
          <w:rFonts w:hint="eastAsia"/>
        </w:rPr>
        <w:t>为</w:t>
      </w:r>
      <w:r>
        <w:rPr>
          <w:position w:val="-12"/>
        </w:rPr>
        <w:object w:dxaOrig="1046" w:dyaOrig="367">
          <v:shape id="_x0000_i1035" type="#_x0000_t75" style="width:52.3pt;height:19pt" o:ole="">
            <v:imagedata r:id="rId33" o:title=""/>
          </v:shape>
          <o:OLEObject Type="Embed" ProgID="Equation.DSMT4" ShapeID="_x0000_i1035" DrawAspect="Content" ObjectID="_1845095431" r:id="rId34"/>
        </w:object>
      </w:r>
      <w:r>
        <w:rPr>
          <w:rFonts w:hint="eastAsia"/>
        </w:rPr>
        <w:t>的</w:t>
      </w:r>
      <w:r>
        <w:rPr>
          <w:rFonts w:hint="eastAsia"/>
        </w:rPr>
        <w:t>Focal Loss</w:t>
      </w:r>
      <w:r>
        <w:rPr>
          <w:rFonts w:hint="eastAsia"/>
        </w:rPr>
        <w:t>，有效缓解故障样本不均衡问题；</w:t>
      </w:r>
      <w:r>
        <w:rPr>
          <w:position w:val="-12"/>
        </w:rPr>
        <w:object w:dxaOrig="625" w:dyaOrig="367">
          <v:shape id="_x0000_i1036" type="#_x0000_t75" style="width:30.55pt;height:19pt" o:ole="">
            <v:imagedata r:id="rId35" o:title=""/>
          </v:shape>
          <o:OLEObject Type="Embed" ProgID="Equation.DSMT4" ShapeID="_x0000_i1036" DrawAspect="Content" ObjectID="_1845095432" r:id="rId36"/>
        </w:object>
      </w:r>
      <w:r>
        <w:rPr>
          <w:rFonts w:hint="eastAsia"/>
        </w:rPr>
        <w:t>为</w:t>
      </w:r>
      <w:r>
        <w:rPr>
          <w:rFonts w:hint="eastAsia"/>
        </w:rPr>
        <w:t>RUL</w:t>
      </w:r>
      <w:r>
        <w:rPr>
          <w:rFonts w:hint="eastAsia"/>
        </w:rPr>
        <w:t>平滑正则项，抑制连续</w:t>
      </w:r>
      <w:proofErr w:type="gramStart"/>
      <w:r>
        <w:rPr>
          <w:rFonts w:hint="eastAsia"/>
        </w:rPr>
        <w:t>帧</w:t>
      </w:r>
      <w:proofErr w:type="gramEnd"/>
      <w:r>
        <w:rPr>
          <w:rFonts w:hint="eastAsia"/>
        </w:rPr>
        <w:t>预测值的异常跳变：</w:t>
      </w:r>
    </w:p>
    <w:p w:rsidR="002F60DA" w:rsidRDefault="00802F97">
      <w:pPr>
        <w:ind w:firstLineChars="0" w:firstLine="0"/>
      </w:pPr>
      <w:r>
        <w:rPr>
          <w:position w:val="-28"/>
        </w:rPr>
        <w:object w:dxaOrig="2717" w:dyaOrig="543">
          <v:shape id="_x0000_i1037" type="#_x0000_t75" style="width:135.85pt;height:27.15pt" o:ole="">
            <v:imagedata r:id="rId37" o:title=""/>
          </v:shape>
          <o:OLEObject Type="Embed" ProgID="Equation.DSMT4" ShapeID="_x0000_i1037" DrawAspect="Content" ObjectID="_1845095433" r:id="rId38"/>
        </w:object>
      </w:r>
      <w:r>
        <w:t xml:space="preserve"> </w:t>
      </w:r>
      <w:r>
        <w:rPr>
          <w:rFonts w:hint="eastAsia"/>
        </w:rPr>
        <w:t>（</w:t>
      </w:r>
      <w:r>
        <w:rPr>
          <w:rFonts w:hint="eastAsia"/>
        </w:rPr>
        <w:t>4</w:t>
      </w:r>
      <w:r>
        <w:rPr>
          <w:rFonts w:hint="eastAsia"/>
        </w:rPr>
        <w:t>）</w:t>
      </w:r>
    </w:p>
    <w:p w:rsidR="002F60DA" w:rsidRDefault="00802F97">
      <w:pPr>
        <w:ind w:firstLine="420"/>
      </w:pPr>
      <w:r>
        <w:rPr>
          <w:rFonts w:hint="eastAsia"/>
        </w:rPr>
        <w:t>经实验验证，三部分权重取</w:t>
      </w:r>
      <w:r>
        <w:rPr>
          <w:position w:val="-6"/>
        </w:rPr>
        <w:object w:dxaOrig="734" w:dyaOrig="285">
          <v:shape id="_x0000_i1038" type="#_x0000_t75" style="width:36.7pt;height:14.25pt" o:ole="">
            <v:imagedata r:id="rId39" o:title=""/>
          </v:shape>
          <o:OLEObject Type="Embed" ProgID="Equation.DSMT4" ShapeID="_x0000_i1038" DrawAspect="Content" ObjectID="_1845095434" r:id="rId40"/>
        </w:object>
      </w:r>
      <w:r>
        <w:rPr>
          <w:rFonts w:hint="eastAsia"/>
        </w:rPr>
        <w:t>、</w:t>
      </w:r>
      <w:r>
        <w:rPr>
          <w:position w:val="-10"/>
        </w:rPr>
        <w:object w:dxaOrig="774" w:dyaOrig="326">
          <v:shape id="_x0000_i1039" type="#_x0000_t75" style="width:38.05pt;height:15.6pt" o:ole="">
            <v:imagedata r:id="rId41" o:title=""/>
          </v:shape>
          <o:OLEObject Type="Embed" ProgID="Equation.DSMT4" ShapeID="_x0000_i1039" DrawAspect="Content" ObjectID="_1845095435" r:id="rId42"/>
        </w:object>
      </w:r>
      <w:r>
        <w:rPr>
          <w:rFonts w:hint="eastAsia"/>
        </w:rPr>
        <w:t>、</w:t>
      </w:r>
      <w:r>
        <w:rPr>
          <w:position w:val="-10"/>
        </w:rPr>
        <w:object w:dxaOrig="734" w:dyaOrig="326">
          <v:shape id="_x0000_i1040" type="#_x0000_t75" style="width:36.7pt;height:15.6pt" o:ole="">
            <v:imagedata r:id="rId43" o:title=""/>
          </v:shape>
          <o:OLEObject Type="Embed" ProgID="Equation.DSMT4" ShapeID="_x0000_i1040" DrawAspect="Content" ObjectID="_1845095436" r:id="rId44"/>
        </w:object>
      </w:r>
      <w:r>
        <w:rPr>
          <w:rFonts w:hint="eastAsia"/>
        </w:rPr>
        <w:t>时模型综合性能最优。</w:t>
      </w:r>
    </w:p>
    <w:p w:rsidR="002F60DA" w:rsidRDefault="00802F97">
      <w:pPr>
        <w:pStyle w:val="af5"/>
        <w:spacing w:before="156" w:after="156"/>
      </w:pPr>
      <w:r>
        <w:rPr>
          <w:rFonts w:hint="eastAsia"/>
        </w:rPr>
        <w:t xml:space="preserve">3.3 </w:t>
      </w:r>
      <w:r>
        <w:rPr>
          <w:rFonts w:hint="eastAsia"/>
        </w:rPr>
        <w:t>模型压缩与工程部署</w:t>
      </w:r>
    </w:p>
    <w:p w:rsidR="002F60DA" w:rsidRDefault="00802F97">
      <w:pPr>
        <w:ind w:firstLine="420"/>
      </w:pPr>
      <w:r>
        <w:rPr>
          <w:rFonts w:hint="eastAsia"/>
        </w:rPr>
        <w:t>云端教师模型采用</w:t>
      </w:r>
      <w:r>
        <w:rPr>
          <w:rFonts w:hint="eastAsia"/>
        </w:rPr>
        <w:t>ResNet-50+Transformer</w:t>
      </w:r>
      <w:r>
        <w:rPr>
          <w:rFonts w:hint="eastAsia"/>
        </w:rPr>
        <w:t>架构，精度较高但参数量达</w:t>
      </w:r>
      <w:r>
        <w:rPr>
          <w:rFonts w:hint="eastAsia"/>
        </w:rPr>
        <w:t>220 MB</w:t>
      </w:r>
      <w:r>
        <w:rPr>
          <w:rFonts w:hint="eastAsia"/>
        </w:rPr>
        <w:t>，无法满足边缘部署需求。本研究通过知识蒸馏技术将教师模型知识迁移至边缘学生模型：训练阶段以学生模型同时拟合硬标签与教师软标签，实现高精度压缩。最终学生模型经</w:t>
      </w:r>
      <w:r>
        <w:rPr>
          <w:rFonts w:hint="eastAsia"/>
        </w:rPr>
        <w:t>INT8</w:t>
      </w:r>
      <w:r>
        <w:rPr>
          <w:rFonts w:hint="eastAsia"/>
        </w:rPr>
        <w:t>量化后体积仅</w:t>
      </w:r>
      <w:r>
        <w:rPr>
          <w:rFonts w:hint="eastAsia"/>
        </w:rPr>
        <w:t>15 MB</w:t>
      </w:r>
      <w:r>
        <w:rPr>
          <w:rFonts w:hint="eastAsia"/>
        </w:rPr>
        <w:t>，在</w:t>
      </w:r>
      <w:r>
        <w:rPr>
          <w:rFonts w:hint="eastAsia"/>
        </w:rPr>
        <w:t>Jetson AGX Orin</w:t>
      </w:r>
      <w:r>
        <w:rPr>
          <w:rFonts w:hint="eastAsia"/>
        </w:rPr>
        <w:t>上推理时延低至</w:t>
      </w:r>
      <w:r>
        <w:rPr>
          <w:rFonts w:hint="eastAsia"/>
        </w:rPr>
        <w:t xml:space="preserve">18 </w:t>
      </w:r>
      <w:proofErr w:type="spellStart"/>
      <w:r>
        <w:rPr>
          <w:rFonts w:hint="eastAsia"/>
        </w:rPr>
        <w:t>ms</w:t>
      </w:r>
      <w:proofErr w:type="spellEnd"/>
      <w:r>
        <w:rPr>
          <w:rFonts w:hint="eastAsia"/>
        </w:rPr>
        <w:t>/</w:t>
      </w:r>
      <w:r>
        <w:rPr>
          <w:rFonts w:hint="eastAsia"/>
        </w:rPr>
        <w:t>帧，内存占用</w:t>
      </w:r>
      <w:r>
        <w:rPr>
          <w:rFonts w:hint="eastAsia"/>
        </w:rPr>
        <w:t>&lt;2 GB</w:t>
      </w:r>
      <w:r>
        <w:rPr>
          <w:rFonts w:hint="eastAsia"/>
        </w:rPr>
        <w:t>，运行功耗约</w:t>
      </w:r>
      <w:r>
        <w:rPr>
          <w:rFonts w:hint="eastAsia"/>
        </w:rPr>
        <w:t>22 W</w:t>
      </w:r>
      <w:r>
        <w:rPr>
          <w:rFonts w:hint="eastAsia"/>
        </w:rPr>
        <w:t>。</w:t>
      </w:r>
      <w:r>
        <w:rPr>
          <w:rFonts w:hint="eastAsia"/>
        </w:rPr>
        <w:t>7</w:t>
      </w:r>
      <w:r>
        <w:rPr>
          <w:rFonts w:hint="eastAsia"/>
        </w:rPr>
        <w:t>×</w:t>
      </w:r>
      <w:r>
        <w:rPr>
          <w:rFonts w:hint="eastAsia"/>
        </w:rPr>
        <w:t>24 h</w:t>
      </w:r>
      <w:r>
        <w:rPr>
          <w:rFonts w:hint="eastAsia"/>
        </w:rPr>
        <w:t>连续压力测试表明，</w:t>
      </w:r>
      <w:r>
        <w:rPr>
          <w:rFonts w:hint="eastAsia"/>
        </w:rPr>
        <w:t>GPU</w:t>
      </w:r>
      <w:r>
        <w:rPr>
          <w:rFonts w:hint="eastAsia"/>
        </w:rPr>
        <w:t>温度稳定在</w:t>
      </w:r>
      <w:r>
        <w:rPr>
          <w:rFonts w:hint="eastAsia"/>
        </w:rPr>
        <w:t>62</w:t>
      </w:r>
      <w:r>
        <w:rPr>
          <w:rFonts w:hint="eastAsia"/>
        </w:rPr>
        <w:t>℃，未触发降频保护，完全满足铁路现场长期无人值守运行的可靠性要求。</w:t>
      </w:r>
    </w:p>
    <w:p w:rsidR="002F60DA" w:rsidRDefault="00802F97">
      <w:pPr>
        <w:pStyle w:val="2"/>
        <w:spacing w:before="156" w:after="156"/>
      </w:pPr>
      <w:r>
        <w:rPr>
          <w:rFonts w:hint="eastAsia"/>
        </w:rPr>
        <w:t xml:space="preserve">4 </w:t>
      </w:r>
      <w:r>
        <w:rPr>
          <w:rFonts w:hint="eastAsia"/>
        </w:rPr>
        <w:t>云端联邦学习与故障诊断</w:t>
      </w:r>
    </w:p>
    <w:p w:rsidR="002F60DA" w:rsidRDefault="00802F97">
      <w:pPr>
        <w:ind w:firstLine="420"/>
      </w:pPr>
      <w:r>
        <w:rPr>
          <w:rFonts w:hint="eastAsia"/>
        </w:rPr>
        <w:t>铁路给水变频器的故障模式受地域气候、季节负荷等因素影响显著，单泵房样本量有限且分布不均，而全量数据上传又面临隐私合</w:t>
      </w:r>
      <w:proofErr w:type="gramStart"/>
      <w:r>
        <w:rPr>
          <w:rFonts w:hint="eastAsia"/>
        </w:rPr>
        <w:t>规</w:t>
      </w:r>
      <w:proofErr w:type="gramEnd"/>
      <w:r>
        <w:rPr>
          <w:rFonts w:hint="eastAsia"/>
        </w:rPr>
        <w:t>与带宽瓶颈。为此，本节提出基于联邦学习的跨泵房协同建模方案，在保障数据安全的前提下实现模型持续演化，</w:t>
      </w:r>
      <w:r>
        <w:rPr>
          <w:rFonts w:hint="eastAsia"/>
        </w:rPr>
        <w:lastRenderedPageBreak/>
        <w:t>架构示意如图</w:t>
      </w:r>
      <w:r>
        <w:t>4</w:t>
      </w:r>
      <w:r>
        <w:rPr>
          <w:rFonts w:hint="eastAsia"/>
        </w:rPr>
        <w:t>所示。</w:t>
      </w:r>
    </w:p>
    <w:p w:rsidR="002F60DA" w:rsidRDefault="006204AB" w:rsidP="006204AB">
      <w:pPr>
        <w:pStyle w:val="aff1"/>
      </w:pPr>
      <w:r w:rsidRPr="006204AB">
        <w:object w:dxaOrig="4425" w:dyaOrig="2026">
          <v:shape id="_x0000_i1041" type="#_x0000_t75" style="width:220.75pt;height:101.2pt" o:ole="">
            <v:imagedata r:id="rId45" o:title=""/>
          </v:shape>
          <o:OLEObject Type="Embed" ProgID="Visio.Drawing.15" ShapeID="_x0000_i1041" DrawAspect="Content" ObjectID="_1845095437" r:id="rId46"/>
        </w:object>
      </w:r>
    </w:p>
    <w:p w:rsidR="002F60DA" w:rsidRDefault="00802F97">
      <w:pPr>
        <w:ind w:firstLineChars="0" w:firstLine="0"/>
        <w:jc w:val="center"/>
        <w:rPr>
          <w:rFonts w:eastAsiaTheme="minorEastAsia"/>
        </w:rPr>
      </w:pPr>
      <w:r>
        <w:rPr>
          <w:rFonts w:eastAsiaTheme="minorEastAsia" w:hint="eastAsia"/>
        </w:rPr>
        <w:t>图</w:t>
      </w:r>
      <w:r>
        <w:rPr>
          <w:rFonts w:eastAsiaTheme="minorEastAsia"/>
        </w:rPr>
        <w:t>4</w:t>
      </w:r>
      <w:r>
        <w:rPr>
          <w:rFonts w:eastAsiaTheme="minorEastAsia" w:hint="eastAsia"/>
        </w:rPr>
        <w:t xml:space="preserve"> </w:t>
      </w:r>
      <w:r>
        <w:rPr>
          <w:rFonts w:eastAsiaTheme="minorEastAsia" w:hint="eastAsia"/>
        </w:rPr>
        <w:t>云端联邦学习架构示意</w:t>
      </w:r>
    </w:p>
    <w:p w:rsidR="002F60DA" w:rsidRDefault="00802F97">
      <w:pPr>
        <w:ind w:firstLineChars="0" w:firstLine="0"/>
        <w:jc w:val="center"/>
        <w:rPr>
          <w:rFonts w:eastAsiaTheme="minorEastAsia"/>
        </w:rPr>
      </w:pPr>
      <w:r>
        <w:rPr>
          <w:rFonts w:eastAsiaTheme="minorEastAsia"/>
        </w:rPr>
        <w:t>Fig.4 Architecture of cloud federated learning</w:t>
      </w:r>
    </w:p>
    <w:p w:rsidR="002F60DA" w:rsidRDefault="00802F97">
      <w:pPr>
        <w:pStyle w:val="af5"/>
        <w:spacing w:before="156" w:after="156"/>
      </w:pPr>
      <w:r>
        <w:rPr>
          <w:rFonts w:hint="eastAsia"/>
        </w:rPr>
        <w:t xml:space="preserve">4.1 </w:t>
      </w:r>
      <w:r>
        <w:rPr>
          <w:rFonts w:hint="eastAsia"/>
        </w:rPr>
        <w:t>联邦学习架构</w:t>
      </w:r>
    </w:p>
    <w:p w:rsidR="002F60DA" w:rsidRDefault="00802F97">
      <w:pPr>
        <w:ind w:firstLine="420"/>
      </w:pPr>
      <w:r>
        <w:rPr>
          <w:rFonts w:hint="eastAsia"/>
        </w:rPr>
        <w:t>系统构建“云</w:t>
      </w:r>
      <w:r>
        <w:rPr>
          <w:rFonts w:hint="eastAsia"/>
        </w:rPr>
        <w:t>-</w:t>
      </w:r>
      <w:r>
        <w:rPr>
          <w:rFonts w:hint="eastAsia"/>
        </w:rPr>
        <w:t>边”协同训练框架。中心服务器部署于徐州段云平台，</w:t>
      </w:r>
      <w:r>
        <w:rPr>
          <w:rFonts w:hint="eastAsia"/>
        </w:rPr>
        <w:t>4</w:t>
      </w:r>
      <w:r>
        <w:rPr>
          <w:rFonts w:hint="eastAsia"/>
        </w:rPr>
        <w:t>个客户端分别对应徐州北、徐州南、邳州、新沂泵房的边缘计算节点。每完成</w:t>
      </w:r>
      <w:r>
        <w:rPr>
          <w:rFonts w:hint="eastAsia"/>
        </w:rPr>
        <w:t>5</w:t>
      </w:r>
      <w:r>
        <w:rPr>
          <w:rFonts w:hint="eastAsia"/>
        </w:rPr>
        <w:t>轮本地训练后，客户端将</w:t>
      </w:r>
      <w:r>
        <w:rPr>
          <w:rFonts w:hint="eastAsia"/>
        </w:rPr>
        <w:t>INT8</w:t>
      </w:r>
      <w:r>
        <w:rPr>
          <w:rFonts w:hint="eastAsia"/>
        </w:rPr>
        <w:t>量化后的模型参数加密上传至中心服务器；服务器按各节点样本量加权聚合全局模型：</w:t>
      </w:r>
    </w:p>
    <w:p w:rsidR="002F60DA" w:rsidRDefault="00802F97">
      <w:pPr>
        <w:ind w:firstLineChars="0" w:firstLine="0"/>
      </w:pPr>
      <w:r>
        <w:rPr>
          <w:position w:val="-28"/>
        </w:rPr>
        <w:object w:dxaOrig="1603" w:dyaOrig="666">
          <v:shape id="_x0000_i1042" type="#_x0000_t75" style="width:80.15pt;height:33.95pt" o:ole="">
            <v:imagedata r:id="rId47" o:title=""/>
          </v:shape>
          <o:OLEObject Type="Embed" ProgID="Equation.DSMT4" ShapeID="_x0000_i1042" DrawAspect="Content" ObjectID="_1845095438" r:id="rId48"/>
        </w:object>
      </w:r>
      <w:r>
        <w:t xml:space="preserve"> </w:t>
      </w:r>
      <w:r>
        <w:rPr>
          <w:rFonts w:hint="eastAsia"/>
        </w:rPr>
        <w:t>（</w:t>
      </w:r>
      <w:r>
        <w:rPr>
          <w:rFonts w:hint="eastAsia"/>
        </w:rPr>
        <w:t>5</w:t>
      </w:r>
      <w:r>
        <w:rPr>
          <w:rFonts w:hint="eastAsia"/>
        </w:rPr>
        <w:t>）</w:t>
      </w:r>
    </w:p>
    <w:p w:rsidR="002F60DA" w:rsidRDefault="00802F97">
      <w:pPr>
        <w:ind w:firstLineChars="0" w:firstLine="0"/>
      </w:pPr>
      <w:r>
        <w:rPr>
          <w:rFonts w:hint="eastAsia"/>
        </w:rPr>
        <w:t>其中</w:t>
      </w:r>
      <w:r>
        <w:rPr>
          <w:position w:val="-12"/>
        </w:rPr>
        <w:object w:dxaOrig="245" w:dyaOrig="367">
          <v:shape id="_x0000_i1043" type="#_x0000_t75" style="width:12.25pt;height:19pt" o:ole="">
            <v:imagedata r:id="rId49" o:title=""/>
          </v:shape>
          <o:OLEObject Type="Embed" ProgID="Equation.DSMT4" ShapeID="_x0000_i1043" DrawAspect="Content" ObjectID="_1845095439" r:id="rId50"/>
        </w:object>
      </w:r>
      <w:r>
        <w:rPr>
          <w:rFonts w:hint="eastAsia"/>
        </w:rPr>
        <w:t>为客户端</w:t>
      </w:r>
      <w:r>
        <w:rPr>
          <w:position w:val="-6"/>
        </w:rPr>
        <w:object w:dxaOrig="136" w:dyaOrig="258">
          <v:shape id="_x0000_i1044" type="#_x0000_t75" style="width:6.8pt;height:12.9pt" o:ole="">
            <v:imagedata r:id="rId51" o:title=""/>
          </v:shape>
          <o:OLEObject Type="Embed" ProgID="Equation.DSMT4" ShapeID="_x0000_i1044" DrawAspect="Content" ObjectID="_1845095440" r:id="rId52"/>
        </w:object>
      </w:r>
      <w:r>
        <w:rPr>
          <w:rFonts w:hint="eastAsia"/>
        </w:rPr>
        <w:t>的样本量，</w:t>
      </w:r>
      <w:r>
        <w:rPr>
          <w:position w:val="-6"/>
        </w:rPr>
        <w:object w:dxaOrig="285" w:dyaOrig="285">
          <v:shape id="_x0000_i1045" type="#_x0000_t75" style="width:14.25pt;height:14.25pt" o:ole="">
            <v:imagedata r:id="rId53" o:title=""/>
          </v:shape>
          <o:OLEObject Type="Embed" ProgID="Equation.DSMT4" ShapeID="_x0000_i1045" DrawAspect="Content" ObjectID="_1845095441" r:id="rId54"/>
        </w:object>
      </w:r>
      <w:r>
        <w:rPr>
          <w:rFonts w:hint="eastAsia"/>
        </w:rPr>
        <w:t>为总样本量。聚合后的全局模型下发至各客户端进入下一轮迭代。联邦学习周期设定为</w:t>
      </w:r>
      <w:r>
        <w:rPr>
          <w:rFonts w:hint="eastAsia"/>
        </w:rPr>
        <w:t>6</w:t>
      </w:r>
      <w:r>
        <w:t xml:space="preserve"> </w:t>
      </w:r>
      <w:r>
        <w:rPr>
          <w:rFonts w:hint="eastAsia"/>
        </w:rPr>
        <w:t>h/</w:t>
      </w:r>
      <w:r>
        <w:rPr>
          <w:rFonts w:hint="eastAsia"/>
        </w:rPr>
        <w:t>次，既保证模型及时吸收新故障模式，又避免对</w:t>
      </w:r>
      <w:r>
        <w:rPr>
          <w:rFonts w:hint="eastAsia"/>
        </w:rPr>
        <w:t>5G</w:t>
      </w:r>
      <w:r>
        <w:rPr>
          <w:rFonts w:hint="eastAsia"/>
        </w:rPr>
        <w:t>专网造成持续带宽压力。</w:t>
      </w:r>
    </w:p>
    <w:p w:rsidR="002F60DA" w:rsidRDefault="00802F97">
      <w:pPr>
        <w:pStyle w:val="af5"/>
        <w:spacing w:before="156" w:after="156"/>
      </w:pPr>
      <w:r>
        <w:t>4</w:t>
      </w:r>
      <w:r>
        <w:rPr>
          <w:rFonts w:hint="eastAsia"/>
        </w:rPr>
        <w:t xml:space="preserve">.2 </w:t>
      </w:r>
      <w:r>
        <w:rPr>
          <w:rFonts w:hint="eastAsia"/>
        </w:rPr>
        <w:t>故障分类与智能诊断</w:t>
      </w:r>
    </w:p>
    <w:p w:rsidR="002F60DA" w:rsidRDefault="00802F97">
      <w:pPr>
        <w:ind w:firstLine="420"/>
      </w:pPr>
      <w:r>
        <w:rPr>
          <w:rFonts w:hint="eastAsia"/>
        </w:rPr>
        <w:t>模型输出的</w:t>
      </w:r>
      <w:r>
        <w:rPr>
          <w:rFonts w:hint="eastAsia"/>
        </w:rPr>
        <w:t>5</w:t>
      </w:r>
      <w:r>
        <w:rPr>
          <w:rFonts w:hint="eastAsia"/>
        </w:rPr>
        <w:t>类故障概率结合专家规则库形成最终诊断结论：轴承磨损对应振动</w:t>
      </w:r>
      <w:r>
        <w:rPr>
          <w:rFonts w:hint="eastAsia"/>
        </w:rPr>
        <w:t>RMS</w:t>
      </w:r>
      <w:r>
        <w:rPr>
          <w:rFonts w:hint="eastAsia"/>
        </w:rPr>
        <w:t>与峰值因子突增；</w:t>
      </w:r>
      <w:r>
        <w:rPr>
          <w:rFonts w:hint="eastAsia"/>
        </w:rPr>
        <w:t>IGBT</w:t>
      </w:r>
      <w:r>
        <w:rPr>
          <w:rFonts w:hint="eastAsia"/>
        </w:rPr>
        <w:t>老化表现为</w:t>
      </w:r>
      <w:r>
        <w:rPr>
          <w:rFonts w:hint="eastAsia"/>
        </w:rPr>
        <w:t>11</w:t>
      </w:r>
      <w:r>
        <w:rPr>
          <w:rFonts w:hint="eastAsia"/>
        </w:rPr>
        <w:t>次谐波幅值上升叠加模块温度异常；电容退化伴随功率因数降低与纹波增大；风扇异常则体现出风口温度持续超限；正常状态要求各通道指标均处于健康区间。</w:t>
      </w:r>
    </w:p>
    <w:p w:rsidR="002F60DA" w:rsidRDefault="00802F97">
      <w:pPr>
        <w:ind w:firstLine="420"/>
      </w:pPr>
      <w:r>
        <w:rPr>
          <w:rFonts w:hint="eastAsia"/>
        </w:rPr>
        <w:t>系统针对每类故障自动生成推荐维护动作（紧固</w:t>
      </w:r>
      <w:r>
        <w:rPr>
          <w:rFonts w:hint="eastAsia"/>
        </w:rPr>
        <w:t>/</w:t>
      </w:r>
      <w:r>
        <w:rPr>
          <w:rFonts w:hint="eastAsia"/>
        </w:rPr>
        <w:t>更换</w:t>
      </w:r>
      <w:r>
        <w:rPr>
          <w:rFonts w:hint="eastAsia"/>
        </w:rPr>
        <w:t>/</w:t>
      </w:r>
      <w:r>
        <w:rPr>
          <w:rFonts w:hint="eastAsia"/>
        </w:rPr>
        <w:t>清洁等）及紧急程度分级（一般</w:t>
      </w:r>
      <w:r>
        <w:rPr>
          <w:rFonts w:hint="eastAsia"/>
        </w:rPr>
        <w:t>/</w:t>
      </w:r>
      <w:r>
        <w:rPr>
          <w:rFonts w:hint="eastAsia"/>
        </w:rPr>
        <w:t>重要</w:t>
      </w:r>
      <w:r>
        <w:rPr>
          <w:rFonts w:hint="eastAsia"/>
        </w:rPr>
        <w:t>/</w:t>
      </w:r>
      <w:r>
        <w:rPr>
          <w:rFonts w:hint="eastAsia"/>
        </w:rPr>
        <w:t>紧急），实现从“故障识别”到“处置建议”的闭环决策支持。</w:t>
      </w:r>
    </w:p>
    <w:p w:rsidR="002F60DA" w:rsidRDefault="00802F97">
      <w:pPr>
        <w:pStyle w:val="af5"/>
        <w:spacing w:before="156" w:after="156"/>
      </w:pPr>
      <w:r>
        <w:rPr>
          <w:rFonts w:hint="eastAsia"/>
        </w:rPr>
        <w:t xml:space="preserve">4.3 </w:t>
      </w:r>
      <w:r>
        <w:rPr>
          <w:rFonts w:hint="eastAsia"/>
        </w:rPr>
        <w:t>阈值告警与</w:t>
      </w:r>
      <w:r>
        <w:rPr>
          <w:rFonts w:hint="eastAsia"/>
        </w:rPr>
        <w:t>AI</w:t>
      </w:r>
      <w:r>
        <w:rPr>
          <w:rFonts w:hint="eastAsia"/>
        </w:rPr>
        <w:t>预测融合机制</w:t>
      </w:r>
    </w:p>
    <w:p w:rsidR="002F60DA" w:rsidRDefault="00802F97">
      <w:pPr>
        <w:ind w:firstLine="420"/>
      </w:pPr>
      <w:r>
        <w:rPr>
          <w:rFonts w:hint="eastAsia"/>
        </w:rPr>
        <w:t>系统构建了“阈值兜底</w:t>
      </w:r>
      <w:r>
        <w:rPr>
          <w:rFonts w:hint="eastAsia"/>
        </w:rPr>
        <w:t>+AI</w:t>
      </w:r>
      <w:r>
        <w:rPr>
          <w:rFonts w:hint="eastAsia"/>
        </w:rPr>
        <w:t>预测”双通道运维体系，两者独立运行、互为补充。传统硬件阈值告警作为最后一道安全防线，对过流、过压、超温等紧急工况触发即时跳闸保护，确保设备本体安全；</w:t>
      </w:r>
      <w:r>
        <w:rPr>
          <w:rFonts w:hint="eastAsia"/>
        </w:rPr>
        <w:t>AI</w:t>
      </w:r>
      <w:r>
        <w:rPr>
          <w:rFonts w:hint="eastAsia"/>
        </w:rPr>
        <w:t>预测模型则提供未来</w:t>
      </w:r>
      <w:r>
        <w:rPr>
          <w:rFonts w:hint="eastAsia"/>
        </w:rPr>
        <w:t>7</w:t>
      </w:r>
      <w:r>
        <w:rPr>
          <w:rFonts w:hint="eastAsia"/>
        </w:rPr>
        <w:t>–</w:t>
      </w:r>
      <w:r>
        <w:rPr>
          <w:rFonts w:hint="eastAsia"/>
        </w:rPr>
        <w:t>30</w:t>
      </w:r>
      <w:r>
        <w:rPr>
          <w:rFonts w:hint="eastAsia"/>
        </w:rPr>
        <w:t>天的故障概率与</w:t>
      </w:r>
      <w:r>
        <w:rPr>
          <w:rFonts w:hint="eastAsia"/>
        </w:rPr>
        <w:lastRenderedPageBreak/>
        <w:t>RUL</w:t>
      </w:r>
      <w:r>
        <w:rPr>
          <w:rFonts w:hint="eastAsia"/>
        </w:rPr>
        <w:t>趋势预警，支撑计划性维护与备件前置调度。在运维调度面板上，实时视图展示当前告警与设备状态，预测视图呈现</w:t>
      </w:r>
      <w:r>
        <w:rPr>
          <w:rFonts w:hint="eastAsia"/>
        </w:rPr>
        <w:t>RUL</w:t>
      </w:r>
      <w:r>
        <w:rPr>
          <w:rFonts w:hint="eastAsia"/>
        </w:rPr>
        <w:t>曲线与故障演化趋势，使运</w:t>
      </w:r>
      <w:proofErr w:type="gramStart"/>
      <w:r>
        <w:rPr>
          <w:rFonts w:hint="eastAsia"/>
        </w:rPr>
        <w:t>维人员</w:t>
      </w:r>
      <w:proofErr w:type="gramEnd"/>
      <w:r>
        <w:rPr>
          <w:rFonts w:hint="eastAsia"/>
        </w:rPr>
        <w:t>既能快速响应突发故障，又能前瞻性地安排预防性维护，显著提升铁路给水系统的运维智能化水平与供水保障能力。</w:t>
      </w:r>
    </w:p>
    <w:p w:rsidR="002F60DA" w:rsidRDefault="00802F97">
      <w:pPr>
        <w:pStyle w:val="2"/>
        <w:spacing w:before="156" w:after="156"/>
      </w:pPr>
      <w:r>
        <w:rPr>
          <w:rFonts w:hint="eastAsia"/>
        </w:rPr>
        <w:t xml:space="preserve">5 </w:t>
      </w:r>
      <w:r>
        <w:rPr>
          <w:rFonts w:hint="eastAsia"/>
        </w:rPr>
        <w:t>工程应用与验证</w:t>
      </w:r>
    </w:p>
    <w:p w:rsidR="002F60DA" w:rsidRDefault="00802F97">
      <w:pPr>
        <w:ind w:firstLine="420"/>
      </w:pPr>
      <w:r>
        <w:rPr>
          <w:rFonts w:hint="eastAsia"/>
        </w:rPr>
        <w:t>为验证所提方法的工程有效性，系统自</w:t>
      </w:r>
      <w:r>
        <w:rPr>
          <w:rFonts w:hint="eastAsia"/>
        </w:rPr>
        <w:t>202</w:t>
      </w:r>
      <w:r>
        <w:t>5</w:t>
      </w:r>
      <w:r>
        <w:rPr>
          <w:rFonts w:hint="eastAsia"/>
        </w:rPr>
        <w:t>年</w:t>
      </w:r>
      <w:r>
        <w:rPr>
          <w:rFonts w:hint="eastAsia"/>
        </w:rPr>
        <w:t>9</w:t>
      </w:r>
      <w:r>
        <w:rPr>
          <w:rFonts w:hint="eastAsia"/>
        </w:rPr>
        <w:t>月起在徐州段</w:t>
      </w:r>
      <w:r>
        <w:rPr>
          <w:rFonts w:hint="eastAsia"/>
        </w:rPr>
        <w:t>4</w:t>
      </w:r>
      <w:r>
        <w:rPr>
          <w:rFonts w:hint="eastAsia"/>
        </w:rPr>
        <w:t>处泵房的</w:t>
      </w:r>
      <w:r>
        <w:rPr>
          <w:rFonts w:hint="eastAsia"/>
        </w:rPr>
        <w:t>18</w:t>
      </w:r>
      <w:r>
        <w:rPr>
          <w:rFonts w:hint="eastAsia"/>
        </w:rPr>
        <w:t>台变频器上部署试运行。截至</w:t>
      </w:r>
      <w:r>
        <w:rPr>
          <w:rFonts w:hint="eastAsia"/>
        </w:rPr>
        <w:t>202</w:t>
      </w:r>
      <w:r>
        <w:t>6</w:t>
      </w:r>
      <w:r>
        <w:rPr>
          <w:rFonts w:hint="eastAsia"/>
        </w:rPr>
        <w:t>年</w:t>
      </w:r>
      <w:r>
        <w:rPr>
          <w:rFonts w:hint="eastAsia"/>
        </w:rPr>
        <w:t>3</w:t>
      </w:r>
      <w:r>
        <w:rPr>
          <w:rFonts w:hint="eastAsia"/>
        </w:rPr>
        <w:t>月，系统已连续稳定运行</w:t>
      </w:r>
      <w:r>
        <w:rPr>
          <w:rFonts w:hint="eastAsia"/>
        </w:rPr>
        <w:t>6</w:t>
      </w:r>
      <w:r w:rsidR="007918D6" w:rsidRPr="007918D6">
        <w:rPr>
          <w:rFonts w:hint="eastAsia"/>
        </w:rPr>
        <w:t>个月</w:t>
      </w:r>
      <w:r w:rsidRPr="007918D6">
        <w:rPr>
          <w:rFonts w:hint="eastAsia"/>
        </w:rPr>
        <w:t>。</w:t>
      </w:r>
    </w:p>
    <w:p w:rsidR="002F60DA" w:rsidRDefault="00802F97">
      <w:pPr>
        <w:pStyle w:val="af5"/>
        <w:spacing w:before="156" w:after="156"/>
      </w:pPr>
      <w:r>
        <w:rPr>
          <w:rFonts w:hint="eastAsia"/>
        </w:rPr>
        <w:t xml:space="preserve">5.1 </w:t>
      </w:r>
      <w:r>
        <w:rPr>
          <w:rFonts w:hint="eastAsia"/>
        </w:rPr>
        <w:t>部署规模与数据集构建</w:t>
      </w:r>
    </w:p>
    <w:p w:rsidR="002F60DA" w:rsidRDefault="00802F97">
      <w:pPr>
        <w:ind w:firstLine="420"/>
      </w:pPr>
      <w:r>
        <w:rPr>
          <w:rFonts w:hint="eastAsia"/>
        </w:rPr>
        <w:t>试点范围涵盖徐州北（</w:t>
      </w:r>
      <w:r>
        <w:rPr>
          <w:rFonts w:hint="eastAsia"/>
        </w:rPr>
        <w:t>5</w:t>
      </w:r>
      <w:r>
        <w:rPr>
          <w:rFonts w:hint="eastAsia"/>
        </w:rPr>
        <w:t>台）、徐州南（</w:t>
      </w:r>
      <w:r>
        <w:rPr>
          <w:rFonts w:hint="eastAsia"/>
        </w:rPr>
        <w:t>5</w:t>
      </w:r>
      <w:r>
        <w:rPr>
          <w:rFonts w:hint="eastAsia"/>
        </w:rPr>
        <w:t>台）、邳州（</w:t>
      </w:r>
      <w:r>
        <w:rPr>
          <w:rFonts w:hint="eastAsia"/>
        </w:rPr>
        <w:t>4</w:t>
      </w:r>
      <w:r>
        <w:rPr>
          <w:rFonts w:hint="eastAsia"/>
        </w:rPr>
        <w:t>台）及新沂（</w:t>
      </w:r>
      <w:r>
        <w:rPr>
          <w:rFonts w:hint="eastAsia"/>
        </w:rPr>
        <w:t>4</w:t>
      </w:r>
      <w:r>
        <w:rPr>
          <w:rFonts w:hint="eastAsia"/>
        </w:rPr>
        <w:t>台）</w:t>
      </w:r>
      <w:r>
        <w:rPr>
          <w:rFonts w:hint="eastAsia"/>
        </w:rPr>
        <w:t>4</w:t>
      </w:r>
      <w:r>
        <w:rPr>
          <w:rFonts w:hint="eastAsia"/>
        </w:rPr>
        <w:t>处泵房，变频器功率覆盖</w:t>
      </w:r>
      <w:r>
        <w:rPr>
          <w:rFonts w:hint="eastAsia"/>
        </w:rPr>
        <w:t>15</w:t>
      </w:r>
      <w:r>
        <w:rPr>
          <w:rFonts w:hint="eastAsia"/>
        </w:rPr>
        <w:t>–</w:t>
      </w:r>
      <w:r>
        <w:rPr>
          <w:rFonts w:hint="eastAsia"/>
        </w:rPr>
        <w:t>45 kW</w:t>
      </w:r>
      <w:r>
        <w:rPr>
          <w:rFonts w:hint="eastAsia"/>
        </w:rPr>
        <w:t>，涉及</w:t>
      </w:r>
      <w:r>
        <w:rPr>
          <w:rFonts w:hint="eastAsia"/>
        </w:rPr>
        <w:t>ABB</w:t>
      </w:r>
      <w:r>
        <w:rPr>
          <w:rFonts w:hint="eastAsia"/>
        </w:rPr>
        <w:t>、施耐德、台达</w:t>
      </w:r>
      <w:r>
        <w:rPr>
          <w:rFonts w:hint="eastAsia"/>
        </w:rPr>
        <w:t>3</w:t>
      </w:r>
      <w:r>
        <w:rPr>
          <w:rFonts w:hint="eastAsia"/>
        </w:rPr>
        <w:t>个主流品牌，具有良好的设备代表性。试运行期间，系统累计采集多模态数据约</w:t>
      </w:r>
      <w:r>
        <w:rPr>
          <w:rFonts w:hint="eastAsia"/>
        </w:rPr>
        <w:t>2.3</w:t>
      </w:r>
      <w:r>
        <w:rPr>
          <w:rFonts w:hint="eastAsia"/>
        </w:rPr>
        <w:t>亿条，其中电流数据</w:t>
      </w:r>
      <w:r>
        <w:rPr>
          <w:rFonts w:hint="eastAsia"/>
        </w:rPr>
        <w:t>12</w:t>
      </w:r>
      <w:r>
        <w:rPr>
          <w:rFonts w:hint="eastAsia"/>
        </w:rPr>
        <w:t>亿点、振动数据</w:t>
      </w:r>
      <w:r>
        <w:rPr>
          <w:rFonts w:hint="eastAsia"/>
        </w:rPr>
        <w:t>8</w:t>
      </w:r>
      <w:r>
        <w:rPr>
          <w:rFonts w:hint="eastAsia"/>
        </w:rPr>
        <w:t>亿点、温度数据</w:t>
      </w:r>
      <w:r>
        <w:rPr>
          <w:rFonts w:hint="eastAsia"/>
        </w:rPr>
        <w:t>4500</w:t>
      </w:r>
      <w:r>
        <w:rPr>
          <w:rFonts w:hint="eastAsia"/>
        </w:rPr>
        <w:t>万点。样本库包含正常样本</w:t>
      </w:r>
      <w:r>
        <w:rPr>
          <w:rFonts w:hint="eastAsia"/>
        </w:rPr>
        <w:t>240</w:t>
      </w:r>
      <w:r>
        <w:rPr>
          <w:rFonts w:hint="eastAsia"/>
        </w:rPr>
        <w:t>万条及故障样本</w:t>
      </w:r>
      <w:r>
        <w:rPr>
          <w:rFonts w:hint="eastAsia"/>
        </w:rPr>
        <w:t>113</w:t>
      </w:r>
      <w:r>
        <w:rPr>
          <w:rFonts w:hint="eastAsia"/>
        </w:rPr>
        <w:t>次（含人为注入的轴承磨损、</w:t>
      </w:r>
      <w:r>
        <w:rPr>
          <w:rFonts w:hint="eastAsia"/>
        </w:rPr>
        <w:t>IGBT</w:t>
      </w:r>
      <w:r>
        <w:rPr>
          <w:rFonts w:hint="eastAsia"/>
        </w:rPr>
        <w:t>加速老化、电容失效等</w:t>
      </w:r>
      <w:r>
        <w:rPr>
          <w:rFonts w:hint="eastAsia"/>
        </w:rPr>
        <w:t>7</w:t>
      </w:r>
      <w:r>
        <w:rPr>
          <w:rFonts w:hint="eastAsia"/>
        </w:rPr>
        <w:t>类典型工况），为模型训练与验证提供了坚实的数据基础。</w:t>
      </w:r>
    </w:p>
    <w:p w:rsidR="002F60DA" w:rsidRDefault="00802F97">
      <w:pPr>
        <w:pStyle w:val="af5"/>
        <w:spacing w:before="156" w:after="156"/>
      </w:pPr>
      <w:r>
        <w:rPr>
          <w:rFonts w:hint="eastAsia"/>
        </w:rPr>
        <w:t xml:space="preserve">5.2 </w:t>
      </w:r>
      <w:r>
        <w:rPr>
          <w:rFonts w:hint="eastAsia"/>
        </w:rPr>
        <w:t>预测性能评估</w:t>
      </w:r>
    </w:p>
    <w:p w:rsidR="002F60DA" w:rsidRDefault="00802F97">
      <w:pPr>
        <w:ind w:firstLine="420"/>
      </w:pPr>
      <w:r>
        <w:rPr>
          <w:rFonts w:hint="eastAsia"/>
        </w:rPr>
        <w:t>模型对故障的提前预警时间分布在</w:t>
      </w:r>
      <w:r>
        <w:rPr>
          <w:rFonts w:hint="eastAsia"/>
        </w:rPr>
        <w:t>7</w:t>
      </w:r>
      <w:r>
        <w:rPr>
          <w:rFonts w:hint="eastAsia"/>
        </w:rPr>
        <w:t>–</w:t>
      </w:r>
      <w:r>
        <w:rPr>
          <w:rFonts w:hint="eastAsia"/>
        </w:rPr>
        <w:t>30</w:t>
      </w:r>
      <w:r>
        <w:rPr>
          <w:rFonts w:hint="eastAsia"/>
        </w:rPr>
        <w:t>天之间，中位数为</w:t>
      </w:r>
      <w:r>
        <w:rPr>
          <w:rFonts w:hint="eastAsia"/>
        </w:rPr>
        <w:t>18</w:t>
      </w:r>
      <w:r>
        <w:rPr>
          <w:rFonts w:hint="eastAsia"/>
        </w:rPr>
        <w:t>天。在实际故障样本中，预测准确率达</w:t>
      </w:r>
      <w:r>
        <w:rPr>
          <w:rFonts w:hint="eastAsia"/>
        </w:rPr>
        <w:t>88.9%</w:t>
      </w:r>
      <w:r>
        <w:rPr>
          <w:rFonts w:hint="eastAsia"/>
        </w:rPr>
        <w:t>，误报率仅为</w:t>
      </w:r>
      <w:r>
        <w:rPr>
          <w:rFonts w:hint="eastAsia"/>
        </w:rPr>
        <w:t>4.2%</w:t>
      </w:r>
      <w:r>
        <w:rPr>
          <w:rFonts w:hint="eastAsia"/>
        </w:rPr>
        <w:t>。</w:t>
      </w:r>
      <w:r w:rsidR="007918D6">
        <w:rPr>
          <w:rFonts w:hint="eastAsia"/>
        </w:rPr>
        <w:t>其中，电容退化与风扇异常的预测准确率为</w:t>
      </w:r>
      <w:r>
        <w:rPr>
          <w:rFonts w:hint="eastAsia"/>
        </w:rPr>
        <w:t>92</w:t>
      </w:r>
      <w:r w:rsidR="007918D6">
        <w:t>.1</w:t>
      </w:r>
      <w:r>
        <w:rPr>
          <w:rFonts w:hint="eastAsia"/>
        </w:rPr>
        <w:t>%</w:t>
      </w:r>
      <w:r w:rsidR="007918D6">
        <w:rPr>
          <w:rFonts w:hint="eastAsia"/>
        </w:rPr>
        <w:t>，</w:t>
      </w:r>
      <w:r>
        <w:rPr>
          <w:rFonts w:hint="eastAsia"/>
        </w:rPr>
        <w:t>IGBT</w:t>
      </w:r>
      <w:r>
        <w:rPr>
          <w:rFonts w:hint="eastAsia"/>
        </w:rPr>
        <w:t>准确率为</w:t>
      </w:r>
      <w:r>
        <w:rPr>
          <w:rFonts w:hint="eastAsia"/>
        </w:rPr>
        <w:t>82.4%</w:t>
      </w:r>
      <w:r>
        <w:rPr>
          <w:rFonts w:hint="eastAsia"/>
        </w:rPr>
        <w:t>。</w:t>
      </w:r>
    </w:p>
    <w:p w:rsidR="002F60DA" w:rsidRDefault="00802F97">
      <w:pPr>
        <w:pStyle w:val="af5"/>
        <w:spacing w:before="156" w:after="156"/>
      </w:pPr>
      <w:r w:rsidRPr="007918D6">
        <w:rPr>
          <w:rFonts w:hint="eastAsia"/>
        </w:rPr>
        <w:t xml:space="preserve">5.3 </w:t>
      </w:r>
      <w:r w:rsidRPr="007918D6">
        <w:rPr>
          <w:rFonts w:hint="eastAsia"/>
        </w:rPr>
        <w:t>典型应用案例</w:t>
      </w:r>
    </w:p>
    <w:p w:rsidR="002F60DA" w:rsidRDefault="00802F97">
      <w:pPr>
        <w:ind w:firstLine="420"/>
      </w:pPr>
      <w:r>
        <w:rPr>
          <w:rFonts w:hint="eastAsia"/>
        </w:rPr>
        <w:t>电容退化：</w:t>
      </w:r>
      <w:r>
        <w:rPr>
          <w:rFonts w:hint="eastAsia"/>
        </w:rPr>
        <w:t>202</w:t>
      </w:r>
      <w:r>
        <w:t>5</w:t>
      </w:r>
      <w:r>
        <w:rPr>
          <w:rFonts w:hint="eastAsia"/>
        </w:rPr>
        <w:t>年</w:t>
      </w:r>
      <w:r>
        <w:rPr>
          <w:rFonts w:hint="eastAsia"/>
        </w:rPr>
        <w:t>11</w:t>
      </w:r>
      <w:r>
        <w:rPr>
          <w:rFonts w:hint="eastAsia"/>
        </w:rPr>
        <w:t>月，</w:t>
      </w:r>
      <w:proofErr w:type="gramStart"/>
      <w:r>
        <w:rPr>
          <w:rFonts w:hint="eastAsia"/>
        </w:rPr>
        <w:t>徐州北某</w:t>
      </w:r>
      <w:proofErr w:type="gramEnd"/>
      <w:r>
        <w:rPr>
          <w:rFonts w:hint="eastAsia"/>
        </w:rPr>
        <w:t>30 kW</w:t>
      </w:r>
      <w:r>
        <w:rPr>
          <w:rFonts w:hint="eastAsia"/>
        </w:rPr>
        <w:t>变频器收到“电容退化趋势”预警（置信度</w:t>
      </w:r>
      <w:r>
        <w:rPr>
          <w:rFonts w:hint="eastAsia"/>
        </w:rPr>
        <w:t>78%</w:t>
      </w:r>
      <w:r>
        <w:rPr>
          <w:rFonts w:hint="eastAsia"/>
        </w:rPr>
        <w:t>），建议</w:t>
      </w:r>
      <w:r>
        <w:rPr>
          <w:rFonts w:hint="eastAsia"/>
        </w:rPr>
        <w:t>30</w:t>
      </w:r>
      <w:r>
        <w:rPr>
          <w:rFonts w:hint="eastAsia"/>
        </w:rPr>
        <w:t>天内检修。现场于第</w:t>
      </w:r>
      <w:r>
        <w:rPr>
          <w:rFonts w:hint="eastAsia"/>
        </w:rPr>
        <w:t>25</w:t>
      </w:r>
      <w:r>
        <w:rPr>
          <w:rFonts w:hint="eastAsia"/>
        </w:rPr>
        <w:t>天停电检查，确认直流母线电容容量已下降</w:t>
      </w:r>
      <w:r>
        <w:rPr>
          <w:rFonts w:hint="eastAsia"/>
        </w:rPr>
        <w:t>23%</w:t>
      </w:r>
      <w:r>
        <w:rPr>
          <w:rFonts w:hint="eastAsia"/>
        </w:rPr>
        <w:t>，及时更换后避免了突发停机事故。</w:t>
      </w:r>
    </w:p>
    <w:p w:rsidR="002F60DA" w:rsidRDefault="00802F97">
      <w:pPr>
        <w:ind w:firstLine="420"/>
      </w:pPr>
      <w:r>
        <w:rPr>
          <w:rFonts w:hint="eastAsia"/>
        </w:rPr>
        <w:t>IGBT</w:t>
      </w:r>
      <w:r>
        <w:rPr>
          <w:rFonts w:hint="eastAsia"/>
        </w:rPr>
        <w:t>老化：</w:t>
      </w:r>
      <w:r>
        <w:rPr>
          <w:rFonts w:hint="eastAsia"/>
        </w:rPr>
        <w:t>202</w:t>
      </w:r>
      <w:r>
        <w:t>6</w:t>
      </w:r>
      <w:r>
        <w:rPr>
          <w:rFonts w:hint="eastAsia"/>
        </w:rPr>
        <w:t>年</w:t>
      </w:r>
      <w:r>
        <w:rPr>
          <w:rFonts w:hint="eastAsia"/>
        </w:rPr>
        <w:t>1</w:t>
      </w:r>
      <w:r>
        <w:rPr>
          <w:rFonts w:hint="eastAsia"/>
        </w:rPr>
        <w:t>月，邳州站</w:t>
      </w:r>
      <w:r>
        <w:rPr>
          <w:rFonts w:hint="eastAsia"/>
        </w:rPr>
        <w:t>45 kW</w:t>
      </w:r>
      <w:r>
        <w:rPr>
          <w:rFonts w:hint="eastAsia"/>
        </w:rPr>
        <w:t>变频器连续</w:t>
      </w:r>
      <w:r>
        <w:rPr>
          <w:rFonts w:hint="eastAsia"/>
        </w:rPr>
        <w:t>3 d</w:t>
      </w:r>
      <w:r>
        <w:rPr>
          <w:rFonts w:hint="eastAsia"/>
        </w:rPr>
        <w:t>出现</w:t>
      </w:r>
      <w:r>
        <w:rPr>
          <w:rFonts w:hint="eastAsia"/>
        </w:rPr>
        <w:t>11</w:t>
      </w:r>
      <w:r>
        <w:rPr>
          <w:rFonts w:hint="eastAsia"/>
        </w:rPr>
        <w:t>次谐波幅值上升叠加模块温度异常升高</w:t>
      </w:r>
      <w:r>
        <w:rPr>
          <w:rFonts w:hint="eastAsia"/>
        </w:rPr>
        <w:t>5</w:t>
      </w:r>
      <w:r>
        <w:rPr>
          <w:rFonts w:hint="eastAsia"/>
        </w:rPr>
        <w:t>℃，系统判定为“</w:t>
      </w:r>
      <w:r>
        <w:rPr>
          <w:rFonts w:hint="eastAsia"/>
        </w:rPr>
        <w:t>IGBT</w:t>
      </w:r>
      <w:r>
        <w:rPr>
          <w:rFonts w:hint="eastAsia"/>
        </w:rPr>
        <w:t>早期老化”。运</w:t>
      </w:r>
      <w:proofErr w:type="gramStart"/>
      <w:r>
        <w:rPr>
          <w:rFonts w:hint="eastAsia"/>
        </w:rPr>
        <w:t>维人员</w:t>
      </w:r>
      <w:proofErr w:type="gramEnd"/>
      <w:r>
        <w:rPr>
          <w:rFonts w:hint="eastAsia"/>
        </w:rPr>
        <w:t>于第</w:t>
      </w:r>
      <w:r>
        <w:rPr>
          <w:rFonts w:hint="eastAsia"/>
        </w:rPr>
        <w:t>10</w:t>
      </w:r>
      <w:r>
        <w:rPr>
          <w:rFonts w:hint="eastAsia"/>
        </w:rPr>
        <w:t>天实施预防性更换，成功规避了可能影响春运应急供水的重大故障。</w:t>
      </w:r>
    </w:p>
    <w:p w:rsidR="002F60DA" w:rsidRDefault="00802F97">
      <w:pPr>
        <w:ind w:firstLine="420"/>
      </w:pPr>
      <w:r>
        <w:rPr>
          <w:rFonts w:hint="eastAsia"/>
        </w:rPr>
        <w:t>轴承磨损：</w:t>
      </w:r>
      <w:r>
        <w:rPr>
          <w:rFonts w:hint="eastAsia"/>
        </w:rPr>
        <w:t>202</w:t>
      </w:r>
      <w:r>
        <w:t>6</w:t>
      </w:r>
      <w:r>
        <w:rPr>
          <w:rFonts w:hint="eastAsia"/>
        </w:rPr>
        <w:t>年</w:t>
      </w:r>
      <w:r>
        <w:rPr>
          <w:rFonts w:hint="eastAsia"/>
        </w:rPr>
        <w:t>2</w:t>
      </w:r>
      <w:r>
        <w:rPr>
          <w:rFonts w:hint="eastAsia"/>
        </w:rPr>
        <w:t>月，新沂站</w:t>
      </w:r>
      <w:r>
        <w:rPr>
          <w:rFonts w:hint="eastAsia"/>
        </w:rPr>
        <w:t>15 kW</w:t>
      </w:r>
      <w:r>
        <w:rPr>
          <w:rFonts w:hint="eastAsia"/>
        </w:rPr>
        <w:t>变频器模型输出</w:t>
      </w:r>
      <w:r>
        <w:rPr>
          <w:rFonts w:hint="eastAsia"/>
        </w:rPr>
        <w:t>RUL=152</w:t>
      </w:r>
      <w:r>
        <w:rPr>
          <w:rFonts w:hint="eastAsia"/>
        </w:rPr>
        <w:t>小时，与厂家经验高度吻合；同时提示“风扇轴承磨损”，</w:t>
      </w:r>
      <w:r>
        <w:rPr>
          <w:rFonts w:hint="eastAsia"/>
        </w:rPr>
        <w:t>2</w:t>
      </w:r>
      <w:r>
        <w:rPr>
          <w:rFonts w:hint="eastAsia"/>
        </w:rPr>
        <w:t>周后现场听音确认</w:t>
      </w:r>
      <w:r>
        <w:rPr>
          <w:rFonts w:hint="eastAsia"/>
        </w:rPr>
        <w:lastRenderedPageBreak/>
        <w:t>并更换轴承。</w:t>
      </w:r>
    </w:p>
    <w:p w:rsidR="002F60DA" w:rsidRDefault="00802F97">
      <w:pPr>
        <w:ind w:firstLine="420"/>
      </w:pPr>
      <w:r>
        <w:rPr>
          <w:rFonts w:hint="eastAsia"/>
        </w:rPr>
        <w:t>上述案例覆盖了电容、</w:t>
      </w:r>
      <w:r>
        <w:rPr>
          <w:rFonts w:hint="eastAsia"/>
        </w:rPr>
        <w:t>IGBT</w:t>
      </w:r>
      <w:r>
        <w:rPr>
          <w:rFonts w:hint="eastAsia"/>
        </w:rPr>
        <w:t>、轴承三类核心故障模式，验证了系统在复杂工况下的工程实用性。</w:t>
      </w:r>
    </w:p>
    <w:p w:rsidR="002F60DA" w:rsidRDefault="007918D6">
      <w:pPr>
        <w:pStyle w:val="af5"/>
        <w:spacing w:before="156" w:after="156"/>
      </w:pPr>
      <w:r>
        <w:rPr>
          <w:rFonts w:hint="eastAsia"/>
        </w:rPr>
        <w:t>5.</w:t>
      </w:r>
      <w:r>
        <w:t>4</w:t>
      </w:r>
      <w:r w:rsidR="00802F97">
        <w:rPr>
          <w:rFonts w:hint="eastAsia"/>
        </w:rPr>
        <w:t xml:space="preserve"> </w:t>
      </w:r>
      <w:r w:rsidR="00802F97">
        <w:rPr>
          <w:rFonts w:hint="eastAsia"/>
        </w:rPr>
        <w:t>模型迭代与持续学习机制</w:t>
      </w:r>
    </w:p>
    <w:p w:rsidR="002F60DA" w:rsidRDefault="00802F97">
      <w:pPr>
        <w:ind w:firstLine="420"/>
      </w:pPr>
      <w:r>
        <w:rPr>
          <w:rFonts w:hint="eastAsia"/>
        </w:rPr>
        <w:t>系统上线</w:t>
      </w:r>
      <w:r>
        <w:rPr>
          <w:rFonts w:hint="eastAsia"/>
        </w:rPr>
        <w:t>6</w:t>
      </w:r>
      <w:r>
        <w:rPr>
          <w:rFonts w:hint="eastAsia"/>
        </w:rPr>
        <w:t>个月内，联邦学习共完成约</w:t>
      </w:r>
      <w:r>
        <w:rPr>
          <w:rFonts w:hint="eastAsia"/>
        </w:rPr>
        <w:t>70</w:t>
      </w:r>
      <w:r>
        <w:rPr>
          <w:rFonts w:hint="eastAsia"/>
        </w:rPr>
        <w:t>轮聚合。验证集上</w:t>
      </w:r>
      <w:r>
        <w:rPr>
          <w:rFonts w:hint="eastAsia"/>
        </w:rPr>
        <w:t>RUL</w:t>
      </w:r>
      <w:r>
        <w:rPr>
          <w:rFonts w:hint="eastAsia"/>
        </w:rPr>
        <w:t>预测平均绝对误差从初始的</w:t>
      </w:r>
      <w:r>
        <w:rPr>
          <w:rFonts w:hint="eastAsia"/>
        </w:rPr>
        <w:t>18.5</w:t>
      </w:r>
      <w:r>
        <w:rPr>
          <w:rFonts w:hint="eastAsia"/>
        </w:rPr>
        <w:t>小时降至</w:t>
      </w:r>
      <w:r>
        <w:rPr>
          <w:rFonts w:hint="eastAsia"/>
        </w:rPr>
        <w:t>8.3</w:t>
      </w:r>
      <w:r>
        <w:rPr>
          <w:rFonts w:hint="eastAsia"/>
        </w:rPr>
        <w:t>小时，故障分类准确率从</w:t>
      </w:r>
      <w:r>
        <w:rPr>
          <w:rFonts w:hint="eastAsia"/>
        </w:rPr>
        <w:t>81.2%</w:t>
      </w:r>
      <w:r>
        <w:rPr>
          <w:rFonts w:hint="eastAsia"/>
        </w:rPr>
        <w:t>提升至</w:t>
      </w:r>
      <w:r>
        <w:rPr>
          <w:rFonts w:hint="eastAsia"/>
        </w:rPr>
        <w:t>88.9%</w:t>
      </w:r>
      <w:r>
        <w:rPr>
          <w:rFonts w:hint="eastAsia"/>
        </w:rPr>
        <w:t>，模型性能</w:t>
      </w:r>
      <w:proofErr w:type="gramStart"/>
      <w:r>
        <w:rPr>
          <w:rFonts w:hint="eastAsia"/>
        </w:rPr>
        <w:t>随数据</w:t>
      </w:r>
      <w:proofErr w:type="gramEnd"/>
      <w:r>
        <w:rPr>
          <w:rFonts w:hint="eastAsia"/>
        </w:rPr>
        <w:t>积累持续优化。全过程仅传输模型参数，无原始数据上传，严格铁路数据安全管理要求。系统内置</w:t>
      </w:r>
      <w:r>
        <w:rPr>
          <w:rFonts w:hint="eastAsia"/>
        </w:rPr>
        <w:t>A/B</w:t>
      </w:r>
      <w:r>
        <w:rPr>
          <w:rFonts w:hint="eastAsia"/>
        </w:rPr>
        <w:t>灰度验证机制，确保全局模型更新不影响生产安全，</w:t>
      </w:r>
      <w:r>
        <w:rPr>
          <w:rFonts w:hint="eastAsia"/>
        </w:rPr>
        <w:t>6</w:t>
      </w:r>
      <w:r>
        <w:rPr>
          <w:rFonts w:hint="eastAsia"/>
        </w:rPr>
        <w:t>个月内未发生因模型切换导致的生产事故。此外，系统支持</w:t>
      </w:r>
      <w:proofErr w:type="gramStart"/>
      <w:r>
        <w:rPr>
          <w:rFonts w:hint="eastAsia"/>
        </w:rPr>
        <w:t>故障录波回放</w:t>
      </w:r>
      <w:proofErr w:type="gramEnd"/>
      <w:r>
        <w:rPr>
          <w:rFonts w:hint="eastAsia"/>
        </w:rPr>
        <w:t>功能，可回溯故障前</w:t>
      </w:r>
      <w:r>
        <w:rPr>
          <w:rFonts w:hint="eastAsia"/>
        </w:rPr>
        <w:t>30</w:t>
      </w:r>
      <w:r>
        <w:rPr>
          <w:rFonts w:hint="eastAsia"/>
        </w:rPr>
        <w:t>秒的多模态时序曲线，为事后根因分析提供完整数据支撑。</w:t>
      </w:r>
    </w:p>
    <w:p w:rsidR="002F60DA" w:rsidRDefault="00802F97">
      <w:pPr>
        <w:pStyle w:val="2"/>
        <w:spacing w:before="156" w:after="156"/>
      </w:pPr>
      <w:r>
        <w:rPr>
          <w:rFonts w:hint="eastAsia"/>
        </w:rPr>
        <w:t xml:space="preserve">6 </w:t>
      </w:r>
      <w:r>
        <w:rPr>
          <w:rFonts w:hint="eastAsia"/>
        </w:rPr>
        <w:t>结论</w:t>
      </w:r>
    </w:p>
    <w:p w:rsidR="002F60DA" w:rsidRDefault="00802F97">
      <w:pPr>
        <w:ind w:firstLine="420"/>
      </w:pPr>
      <w:r>
        <w:rPr>
          <w:rFonts w:hint="eastAsia"/>
        </w:rPr>
        <w:t>针对铁路给水变频器缺乏健康预测能力、依赖事后告警的行业痛点，本文提出了基于多模态融合与边缘智能的预测性维护方法。该方法在边缘端通过轻量化</w:t>
      </w:r>
      <w:r>
        <w:rPr>
          <w:rFonts w:hint="eastAsia"/>
        </w:rPr>
        <w:t>1D-CNN+BiLSTM+Attention</w:t>
      </w:r>
      <w:r>
        <w:rPr>
          <w:rFonts w:hint="eastAsia"/>
        </w:rPr>
        <w:t>模型实现电流、振动、温度三模态数据的实时融合与</w:t>
      </w:r>
      <w:r>
        <w:rPr>
          <w:rFonts w:hint="eastAsia"/>
        </w:rPr>
        <w:t>RUL</w:t>
      </w:r>
      <w:r>
        <w:rPr>
          <w:rFonts w:hint="eastAsia"/>
        </w:rPr>
        <w:t>预测，并通过云端联邦学习聚合多泵房模型，实现跨站点知识共享与模型持续演化。系统在徐州段</w:t>
      </w:r>
      <w:r>
        <w:rPr>
          <w:rFonts w:hint="eastAsia"/>
        </w:rPr>
        <w:t>4</w:t>
      </w:r>
      <w:r>
        <w:rPr>
          <w:rFonts w:hint="eastAsia"/>
        </w:rPr>
        <w:t>处泵房</w:t>
      </w:r>
      <w:r>
        <w:rPr>
          <w:rFonts w:hint="eastAsia"/>
        </w:rPr>
        <w:t>18</w:t>
      </w:r>
      <w:r>
        <w:rPr>
          <w:rFonts w:hint="eastAsia"/>
        </w:rPr>
        <w:t>台变频器的</w:t>
      </w:r>
      <w:r>
        <w:rPr>
          <w:rFonts w:hint="eastAsia"/>
        </w:rPr>
        <w:t>6</w:t>
      </w:r>
      <w:r>
        <w:rPr>
          <w:rFonts w:hint="eastAsia"/>
        </w:rPr>
        <w:t>个月试运行中，提前</w:t>
      </w:r>
      <w:r>
        <w:rPr>
          <w:rFonts w:hint="eastAsia"/>
          <w:szCs w:val="21"/>
        </w:rPr>
        <w:t>7-30</w:t>
      </w:r>
      <w:r>
        <w:rPr>
          <w:rFonts w:hint="eastAsia"/>
          <w:szCs w:val="21"/>
        </w:rPr>
        <w:t>天</w:t>
      </w:r>
      <w:r>
        <w:rPr>
          <w:rFonts w:hint="eastAsia"/>
        </w:rPr>
        <w:t>预警故障</w:t>
      </w:r>
      <w:r>
        <w:rPr>
          <w:rFonts w:hint="eastAsia"/>
        </w:rPr>
        <w:t>11</w:t>
      </w:r>
      <w:r>
        <w:rPr>
          <w:rFonts w:hint="eastAsia"/>
        </w:rPr>
        <w:t>次，准确率达</w:t>
      </w:r>
      <w:r>
        <w:rPr>
          <w:rFonts w:hint="eastAsia"/>
        </w:rPr>
        <w:t>88.9%</w:t>
      </w:r>
      <w:r>
        <w:rPr>
          <w:rFonts w:hint="eastAsia"/>
        </w:rPr>
        <w:t>，误报率仅</w:t>
      </w:r>
      <w:r>
        <w:rPr>
          <w:rFonts w:hint="eastAsia"/>
        </w:rPr>
        <w:t>4.2%</w:t>
      </w:r>
      <w:r>
        <w:rPr>
          <w:rFonts w:hint="eastAsia"/>
        </w:rPr>
        <w:t>，相比传统阈值告警方式预警时间提升</w:t>
      </w:r>
      <w:r>
        <w:rPr>
          <w:rFonts w:hint="eastAsia"/>
        </w:rPr>
        <w:t>10</w:t>
      </w:r>
      <w:r>
        <w:rPr>
          <w:rFonts w:hint="eastAsia"/>
        </w:rPr>
        <w:t>倍以上，验证了方法的工程有效性。</w:t>
      </w:r>
    </w:p>
    <w:p w:rsidR="002F60DA" w:rsidRDefault="002F60DA">
      <w:pPr>
        <w:ind w:firstLine="420"/>
      </w:pPr>
    </w:p>
    <w:p w:rsidR="002F60DA" w:rsidRDefault="00802F97">
      <w:pPr>
        <w:pStyle w:val="2"/>
        <w:spacing w:before="156" w:after="156"/>
      </w:pPr>
      <w:r>
        <w:rPr>
          <w:rFonts w:hint="eastAsia"/>
        </w:rPr>
        <w:t>参考文献</w:t>
      </w:r>
    </w:p>
    <w:p w:rsidR="002F60DA" w:rsidRDefault="00802F97">
      <w:pPr>
        <w:pStyle w:val="aff3"/>
        <w:numPr>
          <w:ilvl w:val="0"/>
          <w:numId w:val="2"/>
        </w:numPr>
        <w:ind w:firstLineChars="0"/>
        <w:rPr>
          <w:szCs w:val="21"/>
        </w:rPr>
      </w:pPr>
      <w:r>
        <w:rPr>
          <w:rFonts w:hint="eastAsia"/>
          <w:szCs w:val="21"/>
        </w:rPr>
        <w:t>李柏松</w:t>
      </w:r>
      <w:r>
        <w:rPr>
          <w:rFonts w:hint="eastAsia"/>
          <w:szCs w:val="21"/>
        </w:rPr>
        <w:t xml:space="preserve">, </w:t>
      </w:r>
      <w:r>
        <w:rPr>
          <w:rFonts w:hint="eastAsia"/>
          <w:szCs w:val="21"/>
        </w:rPr>
        <w:t>沈阳</w:t>
      </w:r>
      <w:r>
        <w:rPr>
          <w:rFonts w:hint="eastAsia"/>
          <w:szCs w:val="21"/>
        </w:rPr>
        <w:t xml:space="preserve">. </w:t>
      </w:r>
      <w:r>
        <w:rPr>
          <w:rFonts w:hint="eastAsia"/>
          <w:szCs w:val="21"/>
        </w:rPr>
        <w:t>铁路给水泵房智能变频</w:t>
      </w:r>
      <w:proofErr w:type="gramStart"/>
      <w:r>
        <w:rPr>
          <w:rFonts w:hint="eastAsia"/>
          <w:szCs w:val="21"/>
        </w:rPr>
        <w:t>柜设计</w:t>
      </w:r>
      <w:proofErr w:type="gramEnd"/>
      <w:r>
        <w:rPr>
          <w:rFonts w:hint="eastAsia"/>
          <w:szCs w:val="21"/>
        </w:rPr>
        <w:t xml:space="preserve">[J]. </w:t>
      </w:r>
      <w:r>
        <w:rPr>
          <w:rFonts w:hint="eastAsia"/>
          <w:szCs w:val="21"/>
        </w:rPr>
        <w:t>铁路计算机应用</w:t>
      </w:r>
      <w:r>
        <w:rPr>
          <w:rFonts w:hint="eastAsia"/>
          <w:szCs w:val="21"/>
        </w:rPr>
        <w:t>, 2023, 32(7): 38-43.</w:t>
      </w:r>
    </w:p>
    <w:p w:rsidR="002F60DA" w:rsidRDefault="00802F97">
      <w:pPr>
        <w:pStyle w:val="aff3"/>
        <w:numPr>
          <w:ilvl w:val="0"/>
          <w:numId w:val="2"/>
        </w:numPr>
        <w:ind w:firstLineChars="0"/>
        <w:rPr>
          <w:szCs w:val="21"/>
        </w:rPr>
      </w:pPr>
      <w:proofErr w:type="gramStart"/>
      <w:r>
        <w:rPr>
          <w:rFonts w:hint="eastAsia"/>
          <w:szCs w:val="21"/>
        </w:rPr>
        <w:t>沈拓</w:t>
      </w:r>
      <w:proofErr w:type="gramEnd"/>
      <w:r>
        <w:rPr>
          <w:rFonts w:hint="eastAsia"/>
          <w:szCs w:val="21"/>
        </w:rPr>
        <w:t xml:space="preserve">. </w:t>
      </w:r>
      <w:proofErr w:type="gramStart"/>
      <w:r>
        <w:rPr>
          <w:rFonts w:hint="eastAsia"/>
          <w:szCs w:val="21"/>
        </w:rPr>
        <w:t>双碳背景</w:t>
      </w:r>
      <w:proofErr w:type="gramEnd"/>
      <w:r>
        <w:rPr>
          <w:rFonts w:hint="eastAsia"/>
          <w:szCs w:val="21"/>
        </w:rPr>
        <w:t>下的铁路车站泵房智能运</w:t>
      </w:r>
      <w:proofErr w:type="gramStart"/>
      <w:r>
        <w:rPr>
          <w:rFonts w:hint="eastAsia"/>
          <w:szCs w:val="21"/>
        </w:rPr>
        <w:t>维应用</w:t>
      </w:r>
      <w:proofErr w:type="gramEnd"/>
      <w:r>
        <w:rPr>
          <w:rFonts w:hint="eastAsia"/>
          <w:szCs w:val="21"/>
        </w:rPr>
        <w:t>研究</w:t>
      </w:r>
      <w:r>
        <w:rPr>
          <w:rFonts w:hint="eastAsia"/>
          <w:szCs w:val="21"/>
        </w:rPr>
        <w:t xml:space="preserve">[J]. </w:t>
      </w:r>
      <w:r>
        <w:rPr>
          <w:rFonts w:hint="eastAsia"/>
          <w:szCs w:val="21"/>
        </w:rPr>
        <w:t>铁路工程学报</w:t>
      </w:r>
      <w:r>
        <w:rPr>
          <w:rFonts w:hint="eastAsia"/>
          <w:szCs w:val="21"/>
        </w:rPr>
        <w:t>, 2024, 41(10): 95-102.</w:t>
      </w:r>
    </w:p>
    <w:p w:rsidR="002F60DA" w:rsidRDefault="00802F97">
      <w:pPr>
        <w:pStyle w:val="aff3"/>
        <w:numPr>
          <w:ilvl w:val="0"/>
          <w:numId w:val="2"/>
        </w:numPr>
        <w:ind w:firstLineChars="0"/>
        <w:rPr>
          <w:szCs w:val="21"/>
        </w:rPr>
      </w:pPr>
      <w:r>
        <w:rPr>
          <w:rFonts w:hint="eastAsia"/>
          <w:szCs w:val="21"/>
        </w:rPr>
        <w:t>张永明</w:t>
      </w:r>
      <w:r>
        <w:rPr>
          <w:rFonts w:hint="eastAsia"/>
          <w:szCs w:val="21"/>
        </w:rPr>
        <w:t xml:space="preserve">, </w:t>
      </w:r>
      <w:r>
        <w:rPr>
          <w:rFonts w:hint="eastAsia"/>
          <w:szCs w:val="21"/>
        </w:rPr>
        <w:t>李强</w:t>
      </w:r>
      <w:r>
        <w:rPr>
          <w:rFonts w:hint="eastAsia"/>
          <w:szCs w:val="21"/>
        </w:rPr>
        <w:t xml:space="preserve">. </w:t>
      </w:r>
      <w:r>
        <w:rPr>
          <w:rFonts w:hint="eastAsia"/>
          <w:szCs w:val="21"/>
        </w:rPr>
        <w:t>基于</w:t>
      </w:r>
      <w:r>
        <w:rPr>
          <w:rFonts w:hint="eastAsia"/>
          <w:szCs w:val="21"/>
        </w:rPr>
        <w:t>LSTM</w:t>
      </w:r>
      <w:r>
        <w:rPr>
          <w:rFonts w:hint="eastAsia"/>
          <w:szCs w:val="21"/>
        </w:rPr>
        <w:t>的旋转机械剩余寿命预测综述</w:t>
      </w:r>
      <w:r>
        <w:rPr>
          <w:rFonts w:hint="eastAsia"/>
          <w:szCs w:val="21"/>
        </w:rPr>
        <w:t xml:space="preserve">[J]. </w:t>
      </w:r>
      <w:r>
        <w:rPr>
          <w:rFonts w:hint="eastAsia"/>
          <w:szCs w:val="21"/>
        </w:rPr>
        <w:t>机械工程学报</w:t>
      </w:r>
      <w:r>
        <w:rPr>
          <w:rFonts w:hint="eastAsia"/>
          <w:szCs w:val="21"/>
        </w:rPr>
        <w:t xml:space="preserve">, 2022, 58(12): </w:t>
      </w:r>
      <w:r>
        <w:rPr>
          <w:rFonts w:hint="eastAsia"/>
          <w:szCs w:val="21"/>
        </w:rPr>
        <w:lastRenderedPageBreak/>
        <w:t>1-15.</w:t>
      </w:r>
    </w:p>
    <w:p w:rsidR="002F60DA" w:rsidRDefault="00802F97">
      <w:pPr>
        <w:pStyle w:val="aff3"/>
        <w:numPr>
          <w:ilvl w:val="0"/>
          <w:numId w:val="2"/>
        </w:numPr>
        <w:ind w:firstLineChars="0"/>
        <w:rPr>
          <w:szCs w:val="21"/>
        </w:rPr>
      </w:pPr>
      <w:r>
        <w:rPr>
          <w:szCs w:val="21"/>
        </w:rPr>
        <w:t>LI X, ZHANG W, DING Q. A robust 1D-CNN based fault diagnosis for rotating machinery[J]. Measurement, 2021, 172: 108882.</w:t>
      </w:r>
    </w:p>
    <w:p w:rsidR="002F60DA" w:rsidRDefault="00802F97">
      <w:pPr>
        <w:pStyle w:val="aff3"/>
        <w:numPr>
          <w:ilvl w:val="0"/>
          <w:numId w:val="2"/>
        </w:numPr>
        <w:ind w:firstLineChars="0"/>
        <w:rPr>
          <w:szCs w:val="21"/>
        </w:rPr>
      </w:pPr>
      <w:r>
        <w:rPr>
          <w:szCs w:val="21"/>
        </w:rPr>
        <w:t>YANG Q, LIU Y, CHEN T, et al. Federated learning for industrial fault diagnosis: A survey[J]. IEEE Transactions on Industrial Informatics, 2022, 18(8): 5099-5116.</w:t>
      </w:r>
    </w:p>
    <w:p w:rsidR="002F60DA" w:rsidRDefault="00802F97">
      <w:pPr>
        <w:pStyle w:val="aff3"/>
        <w:numPr>
          <w:ilvl w:val="0"/>
          <w:numId w:val="2"/>
        </w:numPr>
        <w:ind w:firstLineChars="0"/>
        <w:rPr>
          <w:szCs w:val="21"/>
        </w:rPr>
      </w:pPr>
      <w:r>
        <w:rPr>
          <w:szCs w:val="21"/>
        </w:rPr>
        <w:t>HE K, ZHANG X, REN S, et al. Deep residual learning for image recognition[C]// CVPR, 2016: 770-778.</w:t>
      </w:r>
    </w:p>
    <w:p w:rsidR="002F60DA" w:rsidRDefault="00802F97">
      <w:pPr>
        <w:pStyle w:val="aff3"/>
        <w:numPr>
          <w:ilvl w:val="0"/>
          <w:numId w:val="2"/>
        </w:numPr>
        <w:ind w:firstLineChars="0"/>
        <w:rPr>
          <w:szCs w:val="21"/>
        </w:rPr>
      </w:pPr>
      <w:r>
        <w:rPr>
          <w:szCs w:val="21"/>
        </w:rPr>
        <w:t>HOCHREITER S, SCHMIDHUBER J. Long short-term memory[J]. Neural Computation, 1997, 9(8): 1735-1780.</w:t>
      </w:r>
    </w:p>
    <w:p w:rsidR="002F60DA" w:rsidRDefault="00802F97">
      <w:pPr>
        <w:pStyle w:val="aff3"/>
        <w:numPr>
          <w:ilvl w:val="0"/>
          <w:numId w:val="2"/>
        </w:numPr>
        <w:ind w:firstLineChars="0"/>
        <w:rPr>
          <w:szCs w:val="21"/>
        </w:rPr>
      </w:pPr>
      <w:r>
        <w:rPr>
          <w:szCs w:val="21"/>
        </w:rPr>
        <w:t xml:space="preserve">VASWANI A, SHAZEER N, PARMAR N, et al. Attention is all you need[C]// </w:t>
      </w:r>
      <w:proofErr w:type="spellStart"/>
      <w:r>
        <w:rPr>
          <w:szCs w:val="21"/>
        </w:rPr>
        <w:t>NeurIPS</w:t>
      </w:r>
      <w:proofErr w:type="spellEnd"/>
      <w:r>
        <w:rPr>
          <w:szCs w:val="21"/>
        </w:rPr>
        <w:t>, 2017: 5998-6008.</w:t>
      </w:r>
    </w:p>
    <w:p w:rsidR="002F60DA" w:rsidRDefault="00802F97">
      <w:pPr>
        <w:pStyle w:val="aff3"/>
        <w:numPr>
          <w:ilvl w:val="0"/>
          <w:numId w:val="2"/>
        </w:numPr>
        <w:ind w:firstLineChars="0"/>
        <w:rPr>
          <w:szCs w:val="21"/>
        </w:rPr>
      </w:pPr>
      <w:r>
        <w:rPr>
          <w:szCs w:val="21"/>
        </w:rPr>
        <w:t xml:space="preserve">HINTON G, VINYALS O, DEAN J. Distilling the knowledge in a neural network[J]. </w:t>
      </w:r>
      <w:proofErr w:type="spellStart"/>
      <w:r>
        <w:rPr>
          <w:szCs w:val="21"/>
        </w:rPr>
        <w:t>arXiv</w:t>
      </w:r>
      <w:proofErr w:type="spellEnd"/>
      <w:r>
        <w:rPr>
          <w:szCs w:val="21"/>
        </w:rPr>
        <w:t xml:space="preserve"> preprint arXiv:1503.02531, 2015.</w:t>
      </w:r>
    </w:p>
    <w:p w:rsidR="002F60DA" w:rsidRDefault="00802F97">
      <w:pPr>
        <w:pStyle w:val="aff3"/>
        <w:numPr>
          <w:ilvl w:val="0"/>
          <w:numId w:val="2"/>
        </w:numPr>
        <w:ind w:firstLineChars="0"/>
        <w:rPr>
          <w:szCs w:val="21"/>
        </w:rPr>
      </w:pPr>
      <w:r>
        <w:rPr>
          <w:szCs w:val="21"/>
        </w:rPr>
        <w:t>MCMAHAN B, MOORE E, RAMAGE D, et al. Communication-efficient learning of deep networks from decentralized data[C]// AISTATS, 2017: 1273-1282.</w:t>
      </w:r>
    </w:p>
    <w:p w:rsidR="002F60DA" w:rsidRDefault="00802F97">
      <w:pPr>
        <w:pStyle w:val="aff3"/>
        <w:numPr>
          <w:ilvl w:val="0"/>
          <w:numId w:val="2"/>
        </w:numPr>
        <w:ind w:firstLineChars="0"/>
        <w:rPr>
          <w:szCs w:val="21"/>
        </w:rPr>
      </w:pPr>
      <w:r>
        <w:rPr>
          <w:rFonts w:hint="eastAsia"/>
          <w:szCs w:val="21"/>
        </w:rPr>
        <w:t>国家铁路局</w:t>
      </w:r>
      <w:r>
        <w:rPr>
          <w:rFonts w:hint="eastAsia"/>
          <w:szCs w:val="21"/>
        </w:rPr>
        <w:t xml:space="preserve">. </w:t>
      </w:r>
      <w:r>
        <w:rPr>
          <w:rFonts w:hint="eastAsia"/>
          <w:szCs w:val="21"/>
        </w:rPr>
        <w:t>铁路给水排水设计规范</w:t>
      </w:r>
      <w:r>
        <w:rPr>
          <w:rFonts w:hint="eastAsia"/>
          <w:szCs w:val="21"/>
        </w:rPr>
        <w:t xml:space="preserve">: TB 10010-2016[S]. </w:t>
      </w:r>
      <w:r>
        <w:rPr>
          <w:rFonts w:hint="eastAsia"/>
          <w:szCs w:val="21"/>
        </w:rPr>
        <w:t>北京</w:t>
      </w:r>
      <w:r>
        <w:rPr>
          <w:rFonts w:hint="eastAsia"/>
          <w:szCs w:val="21"/>
        </w:rPr>
        <w:t xml:space="preserve">: </w:t>
      </w:r>
      <w:r>
        <w:rPr>
          <w:rFonts w:hint="eastAsia"/>
          <w:szCs w:val="21"/>
        </w:rPr>
        <w:t>中国铁道出版社</w:t>
      </w:r>
      <w:r>
        <w:rPr>
          <w:rFonts w:hint="eastAsia"/>
          <w:szCs w:val="21"/>
        </w:rPr>
        <w:t>, 2016.</w:t>
      </w:r>
    </w:p>
    <w:p w:rsidR="002F60DA" w:rsidRDefault="00802F97">
      <w:pPr>
        <w:pStyle w:val="aff3"/>
        <w:numPr>
          <w:ilvl w:val="0"/>
          <w:numId w:val="2"/>
        </w:numPr>
        <w:ind w:firstLineChars="0"/>
        <w:rPr>
          <w:szCs w:val="21"/>
        </w:rPr>
      </w:pPr>
      <w:r>
        <w:rPr>
          <w:rFonts w:hint="eastAsia"/>
          <w:szCs w:val="21"/>
        </w:rPr>
        <w:t>沈阳</w:t>
      </w:r>
      <w:r>
        <w:rPr>
          <w:rFonts w:hint="eastAsia"/>
          <w:szCs w:val="21"/>
        </w:rPr>
        <w:t xml:space="preserve">, </w:t>
      </w:r>
      <w:r>
        <w:rPr>
          <w:rFonts w:hint="eastAsia"/>
          <w:szCs w:val="21"/>
        </w:rPr>
        <w:t>邓辰鑫</w:t>
      </w:r>
      <w:r>
        <w:rPr>
          <w:rFonts w:hint="eastAsia"/>
          <w:szCs w:val="21"/>
        </w:rPr>
        <w:t xml:space="preserve">. </w:t>
      </w:r>
      <w:r>
        <w:rPr>
          <w:rFonts w:hint="eastAsia"/>
          <w:szCs w:val="21"/>
        </w:rPr>
        <w:t>无人给水所远程监控系统设计</w:t>
      </w:r>
      <w:r>
        <w:rPr>
          <w:rFonts w:hint="eastAsia"/>
          <w:szCs w:val="21"/>
        </w:rPr>
        <w:t xml:space="preserve">[J]. </w:t>
      </w:r>
      <w:r>
        <w:rPr>
          <w:rFonts w:hint="eastAsia"/>
          <w:szCs w:val="21"/>
        </w:rPr>
        <w:t>铁路计算机应用</w:t>
      </w:r>
      <w:r>
        <w:rPr>
          <w:rFonts w:hint="eastAsia"/>
          <w:szCs w:val="21"/>
        </w:rPr>
        <w:t>, 2024, 33(2): 36-42.</w:t>
      </w:r>
    </w:p>
    <w:p w:rsidR="002F60DA" w:rsidRDefault="00802F97">
      <w:pPr>
        <w:pStyle w:val="aff3"/>
        <w:numPr>
          <w:ilvl w:val="0"/>
          <w:numId w:val="2"/>
        </w:numPr>
        <w:ind w:firstLineChars="0"/>
        <w:rPr>
          <w:szCs w:val="21"/>
        </w:rPr>
      </w:pPr>
      <w:r>
        <w:rPr>
          <w:rFonts w:hint="eastAsia"/>
          <w:szCs w:val="21"/>
        </w:rPr>
        <w:t>张建</w:t>
      </w:r>
      <w:r>
        <w:rPr>
          <w:rFonts w:hint="eastAsia"/>
          <w:szCs w:val="21"/>
        </w:rPr>
        <w:t xml:space="preserve">, </w:t>
      </w:r>
      <w:proofErr w:type="gramStart"/>
      <w:r>
        <w:rPr>
          <w:rFonts w:hint="eastAsia"/>
          <w:szCs w:val="21"/>
        </w:rPr>
        <w:t>沈拓</w:t>
      </w:r>
      <w:proofErr w:type="gramEnd"/>
      <w:r>
        <w:rPr>
          <w:rFonts w:hint="eastAsia"/>
          <w:szCs w:val="21"/>
        </w:rPr>
        <w:t xml:space="preserve">. </w:t>
      </w:r>
      <w:r>
        <w:rPr>
          <w:rFonts w:hint="eastAsia"/>
          <w:szCs w:val="21"/>
        </w:rPr>
        <w:t>无感采集在铁路泵房智能运维的应用探讨</w:t>
      </w:r>
      <w:r>
        <w:rPr>
          <w:rFonts w:hint="eastAsia"/>
          <w:szCs w:val="21"/>
        </w:rPr>
        <w:t xml:space="preserve">[C]// </w:t>
      </w:r>
      <w:proofErr w:type="gramStart"/>
      <w:r>
        <w:rPr>
          <w:rFonts w:hint="eastAsia"/>
          <w:szCs w:val="21"/>
        </w:rPr>
        <w:t>铁路房</w:t>
      </w:r>
      <w:proofErr w:type="gramEnd"/>
      <w:r>
        <w:rPr>
          <w:rFonts w:hint="eastAsia"/>
          <w:szCs w:val="21"/>
        </w:rPr>
        <w:t>建专业科技成果和应用研讨会论文集</w:t>
      </w:r>
      <w:r>
        <w:rPr>
          <w:rFonts w:hint="eastAsia"/>
          <w:szCs w:val="21"/>
        </w:rPr>
        <w:t xml:space="preserve">. </w:t>
      </w:r>
      <w:r>
        <w:rPr>
          <w:rFonts w:hint="eastAsia"/>
          <w:szCs w:val="21"/>
        </w:rPr>
        <w:t>北京</w:t>
      </w:r>
      <w:r>
        <w:rPr>
          <w:rFonts w:hint="eastAsia"/>
          <w:szCs w:val="21"/>
        </w:rPr>
        <w:t xml:space="preserve">: </w:t>
      </w:r>
      <w:r>
        <w:rPr>
          <w:rFonts w:hint="eastAsia"/>
          <w:szCs w:val="21"/>
        </w:rPr>
        <w:t>中国铁道学会</w:t>
      </w:r>
      <w:r>
        <w:rPr>
          <w:rFonts w:hint="eastAsia"/>
          <w:szCs w:val="21"/>
        </w:rPr>
        <w:t>, 2023: 112-119.</w:t>
      </w:r>
    </w:p>
    <w:p w:rsidR="002F60DA" w:rsidRDefault="00802F97">
      <w:pPr>
        <w:pStyle w:val="aff3"/>
        <w:numPr>
          <w:ilvl w:val="0"/>
          <w:numId w:val="2"/>
        </w:numPr>
        <w:ind w:firstLineChars="0"/>
        <w:rPr>
          <w:szCs w:val="21"/>
        </w:rPr>
      </w:pPr>
      <w:r>
        <w:rPr>
          <w:rFonts w:hint="eastAsia"/>
          <w:szCs w:val="21"/>
        </w:rPr>
        <w:t>王飞跃</w:t>
      </w:r>
      <w:r>
        <w:rPr>
          <w:rFonts w:hint="eastAsia"/>
          <w:szCs w:val="21"/>
        </w:rPr>
        <w:t xml:space="preserve">, </w:t>
      </w:r>
      <w:r>
        <w:rPr>
          <w:rFonts w:hint="eastAsia"/>
          <w:szCs w:val="21"/>
        </w:rPr>
        <w:t>张俊</w:t>
      </w:r>
      <w:r>
        <w:rPr>
          <w:rFonts w:hint="eastAsia"/>
          <w:szCs w:val="21"/>
        </w:rPr>
        <w:t xml:space="preserve">. </w:t>
      </w:r>
      <w:r>
        <w:rPr>
          <w:rFonts w:hint="eastAsia"/>
          <w:szCs w:val="21"/>
        </w:rPr>
        <w:t>边缘计算在工业互联网中的应用综述</w:t>
      </w:r>
      <w:r>
        <w:rPr>
          <w:rFonts w:hint="eastAsia"/>
          <w:szCs w:val="21"/>
        </w:rPr>
        <w:t xml:space="preserve">[J]. </w:t>
      </w:r>
      <w:r>
        <w:rPr>
          <w:rFonts w:hint="eastAsia"/>
          <w:szCs w:val="21"/>
        </w:rPr>
        <w:t>自动化学报</w:t>
      </w:r>
      <w:r>
        <w:rPr>
          <w:rFonts w:hint="eastAsia"/>
          <w:szCs w:val="21"/>
        </w:rPr>
        <w:t>, 2022, 48(11): 2673-2688.</w:t>
      </w:r>
    </w:p>
    <w:p w:rsidR="002F60DA" w:rsidRDefault="00802F97">
      <w:pPr>
        <w:pStyle w:val="aff3"/>
        <w:numPr>
          <w:ilvl w:val="0"/>
          <w:numId w:val="2"/>
        </w:numPr>
        <w:ind w:firstLineChars="0"/>
        <w:rPr>
          <w:szCs w:val="21"/>
        </w:rPr>
      </w:pPr>
      <w:r>
        <w:rPr>
          <w:rFonts w:hint="eastAsia"/>
          <w:szCs w:val="21"/>
        </w:rPr>
        <w:t>王群</w:t>
      </w:r>
      <w:r>
        <w:rPr>
          <w:rFonts w:hint="eastAsia"/>
          <w:szCs w:val="21"/>
        </w:rPr>
        <w:t xml:space="preserve">. </w:t>
      </w:r>
      <w:r>
        <w:rPr>
          <w:rFonts w:hint="eastAsia"/>
          <w:szCs w:val="21"/>
        </w:rPr>
        <w:t>地基沉降地区铁路给水管网监测与故障预防处置系统研究</w:t>
      </w:r>
      <w:r>
        <w:rPr>
          <w:rFonts w:hint="eastAsia"/>
          <w:szCs w:val="21"/>
        </w:rPr>
        <w:t xml:space="preserve">[J]. </w:t>
      </w:r>
      <w:r>
        <w:rPr>
          <w:rFonts w:hint="eastAsia"/>
          <w:szCs w:val="21"/>
        </w:rPr>
        <w:t>铁道建筑</w:t>
      </w:r>
      <w:r>
        <w:rPr>
          <w:rFonts w:hint="eastAsia"/>
          <w:szCs w:val="21"/>
        </w:rPr>
        <w:t>, 2024, 64(10): 60-</w:t>
      </w:r>
      <w:proofErr w:type="gramStart"/>
      <w:r>
        <w:rPr>
          <w:rFonts w:hint="eastAsia"/>
          <w:szCs w:val="21"/>
        </w:rPr>
        <w:t>66..</w:t>
      </w:r>
      <w:proofErr w:type="gramEnd"/>
    </w:p>
    <w:p w:rsidR="002F60DA" w:rsidRDefault="002F60DA">
      <w:pPr>
        <w:pStyle w:val="aff3"/>
        <w:spacing w:line="260" w:lineRule="exact"/>
        <w:ind w:firstLineChars="0" w:firstLine="0"/>
        <w:rPr>
          <w:sz w:val="18"/>
          <w:szCs w:val="18"/>
        </w:rPr>
        <w:sectPr w:rsidR="002F60DA">
          <w:type w:val="continuous"/>
          <w:pgSz w:w="11906" w:h="16838"/>
          <w:pgMar w:top="1219" w:right="1106" w:bottom="1219" w:left="1106" w:header="851" w:footer="992" w:gutter="0"/>
          <w:cols w:num="2" w:space="425"/>
          <w:titlePg/>
          <w:docGrid w:type="linesAndChars" w:linePitch="312"/>
        </w:sectPr>
      </w:pPr>
    </w:p>
    <w:p w:rsidR="002F60DA" w:rsidRDefault="002F60DA">
      <w:pPr>
        <w:spacing w:line="260" w:lineRule="exact"/>
        <w:ind w:firstLine="360"/>
        <w:rPr>
          <w:sz w:val="18"/>
          <w:szCs w:val="18"/>
        </w:rPr>
      </w:pPr>
    </w:p>
    <w:sectPr w:rsidR="002F60DA">
      <w:type w:val="continuous"/>
      <w:pgSz w:w="11906" w:h="16838"/>
      <w:pgMar w:top="1418" w:right="1134" w:bottom="1701" w:left="1134" w:header="851"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41BB" w:rsidRDefault="003941BB">
      <w:pPr>
        <w:ind w:firstLine="420"/>
      </w:pPr>
      <w:r>
        <w:separator/>
      </w:r>
    </w:p>
  </w:endnote>
  <w:endnote w:type="continuationSeparator" w:id="0">
    <w:p w:rsidR="003941BB" w:rsidRDefault="003941BB">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60DA" w:rsidRDefault="002F60DA">
    <w:pPr>
      <w:pStyle w:val="ac"/>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60DA" w:rsidRDefault="002F60DA">
    <w:pPr>
      <w:pStyle w:val="ac"/>
      <w:ind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60DA" w:rsidRDefault="002F60DA">
    <w:pPr>
      <w:pStyle w:val="ac"/>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41BB" w:rsidRDefault="003941BB">
      <w:pPr>
        <w:ind w:firstLine="420"/>
      </w:pPr>
      <w:r>
        <w:separator/>
      </w:r>
    </w:p>
  </w:footnote>
  <w:footnote w:type="continuationSeparator" w:id="0">
    <w:p w:rsidR="003941BB" w:rsidRDefault="003941BB">
      <w:pPr>
        <w:ind w:firstLine="42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60DA" w:rsidRDefault="00802F97">
    <w:pPr>
      <w:pStyle w:val="ae"/>
      <w:ind w:firstLine="360"/>
    </w:pPr>
    <w:r>
      <w:rPr>
        <w:rFonts w:hint="eastAsia"/>
      </w:rPr>
      <w:t>机</w:t>
    </w:r>
    <w:r>
      <w:rPr>
        <w:rFonts w:hint="eastAsia"/>
      </w:rPr>
      <w:t xml:space="preserve">  </w:t>
    </w:r>
    <w:proofErr w:type="gramStart"/>
    <w:r>
      <w:rPr>
        <w:rFonts w:hint="eastAsia"/>
      </w:rPr>
      <w:t>械</w:t>
    </w:r>
    <w:proofErr w:type="gramEnd"/>
    <w:r>
      <w:rPr>
        <w:rFonts w:hint="eastAsia"/>
      </w:rPr>
      <w:t xml:space="preserve">  </w:t>
    </w:r>
    <w:r>
      <w:rPr>
        <w:rFonts w:hint="eastAsia"/>
      </w:rPr>
      <w:t>工</w:t>
    </w:r>
    <w:r>
      <w:rPr>
        <w:rFonts w:hint="eastAsia"/>
      </w:rPr>
      <w:t xml:space="preserve">  </w:t>
    </w:r>
    <w:r>
      <w:rPr>
        <w:rFonts w:hint="eastAsia"/>
      </w:rPr>
      <w:t>程</w:t>
    </w:r>
    <w:r>
      <w:rPr>
        <w:rFonts w:hint="eastAsia"/>
      </w:rPr>
      <w:t xml:space="preserve">  </w:t>
    </w:r>
    <w:r>
      <w:rPr>
        <w:rFonts w:hint="eastAsia"/>
      </w:rPr>
      <w:t>学</w:t>
    </w:r>
    <w:r>
      <w:rPr>
        <w:rFonts w:hint="eastAsia"/>
      </w:rPr>
      <w:t xml:space="preserve">  </w:t>
    </w:r>
    <w:r>
      <w:rPr>
        <w:rFonts w:hint="eastAsia"/>
      </w:rPr>
      <w:t>报</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60DA" w:rsidRDefault="002F60DA">
    <w:pPr>
      <w:pStyle w:val="ae"/>
      <w:pBdr>
        <w:bottom w:val="none" w:sz="0" w:space="0" w:color="auto"/>
      </w:pBdr>
      <w:ind w:firstLine="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60DA" w:rsidRDefault="002F60DA">
    <w:pPr>
      <w:ind w:firstLine="42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671F16"/>
    <w:multiLevelType w:val="multilevel"/>
    <w:tmpl w:val="60671F16"/>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FCB7FA5"/>
    <w:multiLevelType w:val="multilevel"/>
    <w:tmpl w:val="6FCB7FA5"/>
    <w:lvl w:ilvl="0">
      <w:start w:val="1"/>
      <w:numFmt w:val="decimal"/>
      <w:pStyle w:val="reference"/>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E3ODJkMGEwNmJhMDYxODdkYzIxMmY5NmZmY2VkN2EifQ=="/>
  </w:docVars>
  <w:rsids>
    <w:rsidRoot w:val="001754A1"/>
    <w:rsid w:val="00002FB6"/>
    <w:rsid w:val="00004D6C"/>
    <w:rsid w:val="0000670D"/>
    <w:rsid w:val="00007AE8"/>
    <w:rsid w:val="00010693"/>
    <w:rsid w:val="0001154C"/>
    <w:rsid w:val="0001168B"/>
    <w:rsid w:val="00015DA5"/>
    <w:rsid w:val="000217E0"/>
    <w:rsid w:val="00022460"/>
    <w:rsid w:val="00024040"/>
    <w:rsid w:val="00024490"/>
    <w:rsid w:val="00024F38"/>
    <w:rsid w:val="000253B7"/>
    <w:rsid w:val="00026B71"/>
    <w:rsid w:val="000271E9"/>
    <w:rsid w:val="00027F51"/>
    <w:rsid w:val="0003159A"/>
    <w:rsid w:val="00031D6C"/>
    <w:rsid w:val="0003204B"/>
    <w:rsid w:val="0004311D"/>
    <w:rsid w:val="00043EE6"/>
    <w:rsid w:val="00045054"/>
    <w:rsid w:val="00046D73"/>
    <w:rsid w:val="00047D03"/>
    <w:rsid w:val="00051017"/>
    <w:rsid w:val="00051C93"/>
    <w:rsid w:val="000520FE"/>
    <w:rsid w:val="000544F6"/>
    <w:rsid w:val="00055ADA"/>
    <w:rsid w:val="00057735"/>
    <w:rsid w:val="000612D4"/>
    <w:rsid w:val="000621D3"/>
    <w:rsid w:val="000632E6"/>
    <w:rsid w:val="00064323"/>
    <w:rsid w:val="000648BF"/>
    <w:rsid w:val="000706D8"/>
    <w:rsid w:val="00070855"/>
    <w:rsid w:val="000710AF"/>
    <w:rsid w:val="00071779"/>
    <w:rsid w:val="000751EB"/>
    <w:rsid w:val="00075BA3"/>
    <w:rsid w:val="0007768B"/>
    <w:rsid w:val="00083029"/>
    <w:rsid w:val="000851BF"/>
    <w:rsid w:val="00086A3E"/>
    <w:rsid w:val="00086AE0"/>
    <w:rsid w:val="00086C44"/>
    <w:rsid w:val="0009072B"/>
    <w:rsid w:val="00091925"/>
    <w:rsid w:val="000938B9"/>
    <w:rsid w:val="00094052"/>
    <w:rsid w:val="000958D6"/>
    <w:rsid w:val="000975FB"/>
    <w:rsid w:val="00097C6E"/>
    <w:rsid w:val="00097FC7"/>
    <w:rsid w:val="000A1106"/>
    <w:rsid w:val="000A1828"/>
    <w:rsid w:val="000A2110"/>
    <w:rsid w:val="000A6A5E"/>
    <w:rsid w:val="000A7337"/>
    <w:rsid w:val="000B078F"/>
    <w:rsid w:val="000B181A"/>
    <w:rsid w:val="000B1B28"/>
    <w:rsid w:val="000B5D52"/>
    <w:rsid w:val="000B6168"/>
    <w:rsid w:val="000B6785"/>
    <w:rsid w:val="000B729A"/>
    <w:rsid w:val="000B74FA"/>
    <w:rsid w:val="000C1306"/>
    <w:rsid w:val="000C1CF9"/>
    <w:rsid w:val="000C39CB"/>
    <w:rsid w:val="000C427A"/>
    <w:rsid w:val="000C4B9E"/>
    <w:rsid w:val="000C4F06"/>
    <w:rsid w:val="000C620B"/>
    <w:rsid w:val="000C65FE"/>
    <w:rsid w:val="000C67E3"/>
    <w:rsid w:val="000C71E1"/>
    <w:rsid w:val="000D03C1"/>
    <w:rsid w:val="000D0F70"/>
    <w:rsid w:val="000D4187"/>
    <w:rsid w:val="000D4A29"/>
    <w:rsid w:val="000D4FC9"/>
    <w:rsid w:val="000D5F8B"/>
    <w:rsid w:val="000E0757"/>
    <w:rsid w:val="000E2114"/>
    <w:rsid w:val="000E325D"/>
    <w:rsid w:val="000E4C53"/>
    <w:rsid w:val="000E56A5"/>
    <w:rsid w:val="000F0B8C"/>
    <w:rsid w:val="000F3F62"/>
    <w:rsid w:val="000F419F"/>
    <w:rsid w:val="000F5852"/>
    <w:rsid w:val="000F7774"/>
    <w:rsid w:val="001011B2"/>
    <w:rsid w:val="001012DB"/>
    <w:rsid w:val="00101BD7"/>
    <w:rsid w:val="0010366E"/>
    <w:rsid w:val="001048D8"/>
    <w:rsid w:val="00106722"/>
    <w:rsid w:val="001074D1"/>
    <w:rsid w:val="00107748"/>
    <w:rsid w:val="00107BEE"/>
    <w:rsid w:val="0011474A"/>
    <w:rsid w:val="00114F10"/>
    <w:rsid w:val="00115BFB"/>
    <w:rsid w:val="001165FC"/>
    <w:rsid w:val="00117D34"/>
    <w:rsid w:val="00117E3E"/>
    <w:rsid w:val="0012056C"/>
    <w:rsid w:val="00121696"/>
    <w:rsid w:val="0012260F"/>
    <w:rsid w:val="00122A59"/>
    <w:rsid w:val="001232F6"/>
    <w:rsid w:val="001239A9"/>
    <w:rsid w:val="00124115"/>
    <w:rsid w:val="001263F4"/>
    <w:rsid w:val="00126A5A"/>
    <w:rsid w:val="001308C1"/>
    <w:rsid w:val="00130BC8"/>
    <w:rsid w:val="0013121C"/>
    <w:rsid w:val="0013134D"/>
    <w:rsid w:val="0013228A"/>
    <w:rsid w:val="00132327"/>
    <w:rsid w:val="00132409"/>
    <w:rsid w:val="00134376"/>
    <w:rsid w:val="00136547"/>
    <w:rsid w:val="0013753B"/>
    <w:rsid w:val="001411DF"/>
    <w:rsid w:val="0014129A"/>
    <w:rsid w:val="0014148C"/>
    <w:rsid w:val="00141D74"/>
    <w:rsid w:val="0014303C"/>
    <w:rsid w:val="00144D19"/>
    <w:rsid w:val="001456C4"/>
    <w:rsid w:val="001462C1"/>
    <w:rsid w:val="0014651C"/>
    <w:rsid w:val="00146AE0"/>
    <w:rsid w:val="00147496"/>
    <w:rsid w:val="001655F4"/>
    <w:rsid w:val="001659B8"/>
    <w:rsid w:val="00166A0D"/>
    <w:rsid w:val="0016752E"/>
    <w:rsid w:val="00167D05"/>
    <w:rsid w:val="001703F8"/>
    <w:rsid w:val="00173136"/>
    <w:rsid w:val="00173D5F"/>
    <w:rsid w:val="00173DA9"/>
    <w:rsid w:val="00173E87"/>
    <w:rsid w:val="00174820"/>
    <w:rsid w:val="001754A1"/>
    <w:rsid w:val="001771C6"/>
    <w:rsid w:val="00181D90"/>
    <w:rsid w:val="001838A2"/>
    <w:rsid w:val="0018558B"/>
    <w:rsid w:val="00185ACC"/>
    <w:rsid w:val="001874C5"/>
    <w:rsid w:val="00187BB6"/>
    <w:rsid w:val="00190A54"/>
    <w:rsid w:val="001913F5"/>
    <w:rsid w:val="00192297"/>
    <w:rsid w:val="0019300C"/>
    <w:rsid w:val="0019387C"/>
    <w:rsid w:val="001950F9"/>
    <w:rsid w:val="0019636F"/>
    <w:rsid w:val="00197C4A"/>
    <w:rsid w:val="001A2D56"/>
    <w:rsid w:val="001A493F"/>
    <w:rsid w:val="001A5A33"/>
    <w:rsid w:val="001B287B"/>
    <w:rsid w:val="001B2AC5"/>
    <w:rsid w:val="001B2EC9"/>
    <w:rsid w:val="001B3E31"/>
    <w:rsid w:val="001B4AC2"/>
    <w:rsid w:val="001B7143"/>
    <w:rsid w:val="001B73D0"/>
    <w:rsid w:val="001C0468"/>
    <w:rsid w:val="001C0950"/>
    <w:rsid w:val="001C0E2C"/>
    <w:rsid w:val="001C143F"/>
    <w:rsid w:val="001C1683"/>
    <w:rsid w:val="001C1AFF"/>
    <w:rsid w:val="001C6933"/>
    <w:rsid w:val="001C70A1"/>
    <w:rsid w:val="001D18DC"/>
    <w:rsid w:val="001D1DC4"/>
    <w:rsid w:val="001D2B7D"/>
    <w:rsid w:val="001D320B"/>
    <w:rsid w:val="001D420D"/>
    <w:rsid w:val="001D5259"/>
    <w:rsid w:val="001D65F4"/>
    <w:rsid w:val="001D6774"/>
    <w:rsid w:val="001E033D"/>
    <w:rsid w:val="001E1DF4"/>
    <w:rsid w:val="001E4541"/>
    <w:rsid w:val="001E5137"/>
    <w:rsid w:val="001E65C9"/>
    <w:rsid w:val="001E6813"/>
    <w:rsid w:val="001E759F"/>
    <w:rsid w:val="001F5201"/>
    <w:rsid w:val="001F522F"/>
    <w:rsid w:val="001F6F36"/>
    <w:rsid w:val="001F7C52"/>
    <w:rsid w:val="00200FA6"/>
    <w:rsid w:val="00201320"/>
    <w:rsid w:val="002022FA"/>
    <w:rsid w:val="0020391E"/>
    <w:rsid w:val="002040AC"/>
    <w:rsid w:val="00204251"/>
    <w:rsid w:val="0020546C"/>
    <w:rsid w:val="00205B38"/>
    <w:rsid w:val="00206EAE"/>
    <w:rsid w:val="00207822"/>
    <w:rsid w:val="00212EDE"/>
    <w:rsid w:val="00213527"/>
    <w:rsid w:val="00213F62"/>
    <w:rsid w:val="00217ACC"/>
    <w:rsid w:val="00221825"/>
    <w:rsid w:val="0022263A"/>
    <w:rsid w:val="002264CA"/>
    <w:rsid w:val="002265EC"/>
    <w:rsid w:val="0022710F"/>
    <w:rsid w:val="002273B0"/>
    <w:rsid w:val="00232C94"/>
    <w:rsid w:val="00233250"/>
    <w:rsid w:val="00237CE5"/>
    <w:rsid w:val="00240CA4"/>
    <w:rsid w:val="00240DA2"/>
    <w:rsid w:val="00241496"/>
    <w:rsid w:val="00241B89"/>
    <w:rsid w:val="00242B57"/>
    <w:rsid w:val="00243F0F"/>
    <w:rsid w:val="002455DB"/>
    <w:rsid w:val="00245D38"/>
    <w:rsid w:val="00246214"/>
    <w:rsid w:val="00252068"/>
    <w:rsid w:val="00254700"/>
    <w:rsid w:val="00255343"/>
    <w:rsid w:val="00256BF0"/>
    <w:rsid w:val="00257460"/>
    <w:rsid w:val="002579D7"/>
    <w:rsid w:val="002613B9"/>
    <w:rsid w:val="002614A0"/>
    <w:rsid w:val="0026180B"/>
    <w:rsid w:val="00261C31"/>
    <w:rsid w:val="00264274"/>
    <w:rsid w:val="00264652"/>
    <w:rsid w:val="002656EB"/>
    <w:rsid w:val="00265CA7"/>
    <w:rsid w:val="002672F5"/>
    <w:rsid w:val="00270A0D"/>
    <w:rsid w:val="00271FFF"/>
    <w:rsid w:val="00272850"/>
    <w:rsid w:val="00273C14"/>
    <w:rsid w:val="00274020"/>
    <w:rsid w:val="00280632"/>
    <w:rsid w:val="002817CF"/>
    <w:rsid w:val="00281ADC"/>
    <w:rsid w:val="00283698"/>
    <w:rsid w:val="002856E2"/>
    <w:rsid w:val="0028685C"/>
    <w:rsid w:val="002918F6"/>
    <w:rsid w:val="00295768"/>
    <w:rsid w:val="0029586B"/>
    <w:rsid w:val="00296997"/>
    <w:rsid w:val="00296FA9"/>
    <w:rsid w:val="002A017D"/>
    <w:rsid w:val="002A0BD0"/>
    <w:rsid w:val="002A1A5B"/>
    <w:rsid w:val="002A3A7C"/>
    <w:rsid w:val="002A3B37"/>
    <w:rsid w:val="002A5C98"/>
    <w:rsid w:val="002A6337"/>
    <w:rsid w:val="002A645E"/>
    <w:rsid w:val="002A7DDF"/>
    <w:rsid w:val="002B0422"/>
    <w:rsid w:val="002B1947"/>
    <w:rsid w:val="002B491D"/>
    <w:rsid w:val="002B566E"/>
    <w:rsid w:val="002C164F"/>
    <w:rsid w:val="002C1EF9"/>
    <w:rsid w:val="002C26CF"/>
    <w:rsid w:val="002C401E"/>
    <w:rsid w:val="002C409A"/>
    <w:rsid w:val="002C5AFE"/>
    <w:rsid w:val="002C6324"/>
    <w:rsid w:val="002C67BE"/>
    <w:rsid w:val="002D193C"/>
    <w:rsid w:val="002D20A9"/>
    <w:rsid w:val="002D3607"/>
    <w:rsid w:val="002D497A"/>
    <w:rsid w:val="002D4D24"/>
    <w:rsid w:val="002D4FC6"/>
    <w:rsid w:val="002D5653"/>
    <w:rsid w:val="002D6A7A"/>
    <w:rsid w:val="002D7446"/>
    <w:rsid w:val="002D7AB6"/>
    <w:rsid w:val="002E1BF1"/>
    <w:rsid w:val="002E2C3F"/>
    <w:rsid w:val="002E2D9D"/>
    <w:rsid w:val="002E4FA4"/>
    <w:rsid w:val="002E560F"/>
    <w:rsid w:val="002E5612"/>
    <w:rsid w:val="002E7DDC"/>
    <w:rsid w:val="002E7E4C"/>
    <w:rsid w:val="002F30CF"/>
    <w:rsid w:val="002F5252"/>
    <w:rsid w:val="002F56EB"/>
    <w:rsid w:val="002F60DA"/>
    <w:rsid w:val="00302346"/>
    <w:rsid w:val="0030268E"/>
    <w:rsid w:val="0030378F"/>
    <w:rsid w:val="00306549"/>
    <w:rsid w:val="00306847"/>
    <w:rsid w:val="00307E2F"/>
    <w:rsid w:val="00311116"/>
    <w:rsid w:val="003146A1"/>
    <w:rsid w:val="003147F5"/>
    <w:rsid w:val="00317498"/>
    <w:rsid w:val="00321F93"/>
    <w:rsid w:val="00323C05"/>
    <w:rsid w:val="00324814"/>
    <w:rsid w:val="0032583E"/>
    <w:rsid w:val="00325D5B"/>
    <w:rsid w:val="00326A31"/>
    <w:rsid w:val="003305B8"/>
    <w:rsid w:val="00331921"/>
    <w:rsid w:val="00332082"/>
    <w:rsid w:val="00333CAC"/>
    <w:rsid w:val="003348DA"/>
    <w:rsid w:val="00334CB6"/>
    <w:rsid w:val="00334EAB"/>
    <w:rsid w:val="003356D2"/>
    <w:rsid w:val="00342C60"/>
    <w:rsid w:val="0034301D"/>
    <w:rsid w:val="0034447C"/>
    <w:rsid w:val="00344660"/>
    <w:rsid w:val="00354618"/>
    <w:rsid w:val="00354CE7"/>
    <w:rsid w:val="00355661"/>
    <w:rsid w:val="003579BD"/>
    <w:rsid w:val="00360F2A"/>
    <w:rsid w:val="0036357F"/>
    <w:rsid w:val="00364829"/>
    <w:rsid w:val="00364C5D"/>
    <w:rsid w:val="00367118"/>
    <w:rsid w:val="003717D7"/>
    <w:rsid w:val="00372D97"/>
    <w:rsid w:val="00374016"/>
    <w:rsid w:val="00376042"/>
    <w:rsid w:val="0037666B"/>
    <w:rsid w:val="00380323"/>
    <w:rsid w:val="003811B2"/>
    <w:rsid w:val="00381A50"/>
    <w:rsid w:val="00381C27"/>
    <w:rsid w:val="00382B4C"/>
    <w:rsid w:val="00382DEC"/>
    <w:rsid w:val="003847B9"/>
    <w:rsid w:val="00384DF7"/>
    <w:rsid w:val="00386C20"/>
    <w:rsid w:val="003874E0"/>
    <w:rsid w:val="00387C13"/>
    <w:rsid w:val="00387F02"/>
    <w:rsid w:val="0039032A"/>
    <w:rsid w:val="003905A0"/>
    <w:rsid w:val="00391456"/>
    <w:rsid w:val="00392CE4"/>
    <w:rsid w:val="00393198"/>
    <w:rsid w:val="003941BB"/>
    <w:rsid w:val="003945A6"/>
    <w:rsid w:val="00394C13"/>
    <w:rsid w:val="00397429"/>
    <w:rsid w:val="003A0F34"/>
    <w:rsid w:val="003A22E7"/>
    <w:rsid w:val="003A2822"/>
    <w:rsid w:val="003A3C62"/>
    <w:rsid w:val="003A4DD2"/>
    <w:rsid w:val="003A596F"/>
    <w:rsid w:val="003A6237"/>
    <w:rsid w:val="003A7235"/>
    <w:rsid w:val="003A78DC"/>
    <w:rsid w:val="003B2101"/>
    <w:rsid w:val="003B37D4"/>
    <w:rsid w:val="003B623F"/>
    <w:rsid w:val="003B70CE"/>
    <w:rsid w:val="003C010A"/>
    <w:rsid w:val="003C0904"/>
    <w:rsid w:val="003C3003"/>
    <w:rsid w:val="003C629C"/>
    <w:rsid w:val="003C676D"/>
    <w:rsid w:val="003D1094"/>
    <w:rsid w:val="003D1351"/>
    <w:rsid w:val="003D33EB"/>
    <w:rsid w:val="003D34E9"/>
    <w:rsid w:val="003D44C1"/>
    <w:rsid w:val="003D5DB5"/>
    <w:rsid w:val="003D7AC6"/>
    <w:rsid w:val="003E079C"/>
    <w:rsid w:val="003E0E9F"/>
    <w:rsid w:val="003E1646"/>
    <w:rsid w:val="003E219B"/>
    <w:rsid w:val="003E4CFC"/>
    <w:rsid w:val="003E602B"/>
    <w:rsid w:val="003E6197"/>
    <w:rsid w:val="003E79B6"/>
    <w:rsid w:val="003F152C"/>
    <w:rsid w:val="003F6C91"/>
    <w:rsid w:val="00400408"/>
    <w:rsid w:val="00400842"/>
    <w:rsid w:val="00405B1B"/>
    <w:rsid w:val="004107CA"/>
    <w:rsid w:val="00412E1B"/>
    <w:rsid w:val="00416D8A"/>
    <w:rsid w:val="0041772B"/>
    <w:rsid w:val="00417B32"/>
    <w:rsid w:val="004228BF"/>
    <w:rsid w:val="0042356B"/>
    <w:rsid w:val="00423B9A"/>
    <w:rsid w:val="00424E91"/>
    <w:rsid w:val="0042502D"/>
    <w:rsid w:val="004253A6"/>
    <w:rsid w:val="00425798"/>
    <w:rsid w:val="00425EEF"/>
    <w:rsid w:val="00426A12"/>
    <w:rsid w:val="004276D1"/>
    <w:rsid w:val="004314CB"/>
    <w:rsid w:val="004318FB"/>
    <w:rsid w:val="004329A3"/>
    <w:rsid w:val="00440CDA"/>
    <w:rsid w:val="00440FEA"/>
    <w:rsid w:val="004435FF"/>
    <w:rsid w:val="004442A0"/>
    <w:rsid w:val="00445FCE"/>
    <w:rsid w:val="00450A72"/>
    <w:rsid w:val="00450C4A"/>
    <w:rsid w:val="0045233B"/>
    <w:rsid w:val="00455143"/>
    <w:rsid w:val="0045686D"/>
    <w:rsid w:val="00461AF0"/>
    <w:rsid w:val="004620F9"/>
    <w:rsid w:val="00462C7F"/>
    <w:rsid w:val="00463C43"/>
    <w:rsid w:val="0046420C"/>
    <w:rsid w:val="00464553"/>
    <w:rsid w:val="00470484"/>
    <w:rsid w:val="00472168"/>
    <w:rsid w:val="00472604"/>
    <w:rsid w:val="00473CC6"/>
    <w:rsid w:val="00473FEA"/>
    <w:rsid w:val="0047522A"/>
    <w:rsid w:val="0047589A"/>
    <w:rsid w:val="004761F3"/>
    <w:rsid w:val="00476289"/>
    <w:rsid w:val="00476545"/>
    <w:rsid w:val="004769ED"/>
    <w:rsid w:val="00480286"/>
    <w:rsid w:val="0048090E"/>
    <w:rsid w:val="0048237E"/>
    <w:rsid w:val="004823C2"/>
    <w:rsid w:val="0048479B"/>
    <w:rsid w:val="00484845"/>
    <w:rsid w:val="00484C90"/>
    <w:rsid w:val="0048611E"/>
    <w:rsid w:val="004879A7"/>
    <w:rsid w:val="004937E7"/>
    <w:rsid w:val="00493AFC"/>
    <w:rsid w:val="00495DAC"/>
    <w:rsid w:val="004969A1"/>
    <w:rsid w:val="00497BE3"/>
    <w:rsid w:val="00497D60"/>
    <w:rsid w:val="00497FFE"/>
    <w:rsid w:val="004A1F23"/>
    <w:rsid w:val="004A25CC"/>
    <w:rsid w:val="004A282A"/>
    <w:rsid w:val="004A2E59"/>
    <w:rsid w:val="004A2F00"/>
    <w:rsid w:val="004A3D1B"/>
    <w:rsid w:val="004A44BD"/>
    <w:rsid w:val="004A4582"/>
    <w:rsid w:val="004A5715"/>
    <w:rsid w:val="004A657E"/>
    <w:rsid w:val="004A6CAA"/>
    <w:rsid w:val="004A7598"/>
    <w:rsid w:val="004B1C88"/>
    <w:rsid w:val="004B3B1C"/>
    <w:rsid w:val="004B5FB3"/>
    <w:rsid w:val="004B67CD"/>
    <w:rsid w:val="004B6810"/>
    <w:rsid w:val="004C0E3B"/>
    <w:rsid w:val="004C1153"/>
    <w:rsid w:val="004C1C00"/>
    <w:rsid w:val="004C2C79"/>
    <w:rsid w:val="004C384A"/>
    <w:rsid w:val="004C3C96"/>
    <w:rsid w:val="004C3CD5"/>
    <w:rsid w:val="004C55D0"/>
    <w:rsid w:val="004C63D8"/>
    <w:rsid w:val="004D07DB"/>
    <w:rsid w:val="004D322D"/>
    <w:rsid w:val="004D3A49"/>
    <w:rsid w:val="004E1134"/>
    <w:rsid w:val="004E286F"/>
    <w:rsid w:val="004E40C4"/>
    <w:rsid w:val="004E57D1"/>
    <w:rsid w:val="004E6E28"/>
    <w:rsid w:val="004F0447"/>
    <w:rsid w:val="004F0496"/>
    <w:rsid w:val="004F0FBC"/>
    <w:rsid w:val="004F295C"/>
    <w:rsid w:val="004F49E5"/>
    <w:rsid w:val="004F59AB"/>
    <w:rsid w:val="004F7A14"/>
    <w:rsid w:val="004F7B9F"/>
    <w:rsid w:val="00500B51"/>
    <w:rsid w:val="00501320"/>
    <w:rsid w:val="00511DFC"/>
    <w:rsid w:val="00511F66"/>
    <w:rsid w:val="005124A9"/>
    <w:rsid w:val="00512CEA"/>
    <w:rsid w:val="005130F1"/>
    <w:rsid w:val="005132AE"/>
    <w:rsid w:val="0051367C"/>
    <w:rsid w:val="00513CA3"/>
    <w:rsid w:val="005147ED"/>
    <w:rsid w:val="005165C0"/>
    <w:rsid w:val="00517118"/>
    <w:rsid w:val="00517C2A"/>
    <w:rsid w:val="00520946"/>
    <w:rsid w:val="005218E5"/>
    <w:rsid w:val="00521E86"/>
    <w:rsid w:val="005224C5"/>
    <w:rsid w:val="00523AF9"/>
    <w:rsid w:val="00525F5F"/>
    <w:rsid w:val="00527223"/>
    <w:rsid w:val="00530F6B"/>
    <w:rsid w:val="005310B5"/>
    <w:rsid w:val="005347AB"/>
    <w:rsid w:val="00537461"/>
    <w:rsid w:val="0053773B"/>
    <w:rsid w:val="0053791D"/>
    <w:rsid w:val="00542286"/>
    <w:rsid w:val="0054307A"/>
    <w:rsid w:val="005431FB"/>
    <w:rsid w:val="00543FB2"/>
    <w:rsid w:val="00545B59"/>
    <w:rsid w:val="005471C3"/>
    <w:rsid w:val="00552968"/>
    <w:rsid w:val="005540B0"/>
    <w:rsid w:val="0055453B"/>
    <w:rsid w:val="00554BE2"/>
    <w:rsid w:val="00554FCD"/>
    <w:rsid w:val="00555570"/>
    <w:rsid w:val="0055582C"/>
    <w:rsid w:val="0055587C"/>
    <w:rsid w:val="00555BF1"/>
    <w:rsid w:val="00556514"/>
    <w:rsid w:val="005601AA"/>
    <w:rsid w:val="00561223"/>
    <w:rsid w:val="0056324B"/>
    <w:rsid w:val="00565049"/>
    <w:rsid w:val="005650A9"/>
    <w:rsid w:val="005670D2"/>
    <w:rsid w:val="00570D6F"/>
    <w:rsid w:val="00572135"/>
    <w:rsid w:val="00576C65"/>
    <w:rsid w:val="0057730A"/>
    <w:rsid w:val="005801E4"/>
    <w:rsid w:val="00580C91"/>
    <w:rsid w:val="00583655"/>
    <w:rsid w:val="00586699"/>
    <w:rsid w:val="005916B1"/>
    <w:rsid w:val="0059710D"/>
    <w:rsid w:val="005A14D0"/>
    <w:rsid w:val="005A28B7"/>
    <w:rsid w:val="005A2C45"/>
    <w:rsid w:val="005A31FF"/>
    <w:rsid w:val="005A3505"/>
    <w:rsid w:val="005A4FCE"/>
    <w:rsid w:val="005A55F0"/>
    <w:rsid w:val="005A6D92"/>
    <w:rsid w:val="005A7205"/>
    <w:rsid w:val="005A7207"/>
    <w:rsid w:val="005A74DC"/>
    <w:rsid w:val="005B0F4C"/>
    <w:rsid w:val="005B1009"/>
    <w:rsid w:val="005B103E"/>
    <w:rsid w:val="005B2256"/>
    <w:rsid w:val="005B34B6"/>
    <w:rsid w:val="005B5D88"/>
    <w:rsid w:val="005B6BF0"/>
    <w:rsid w:val="005B7030"/>
    <w:rsid w:val="005C47A1"/>
    <w:rsid w:val="005C4CF4"/>
    <w:rsid w:val="005C6661"/>
    <w:rsid w:val="005D0770"/>
    <w:rsid w:val="005D33A8"/>
    <w:rsid w:val="005D39DF"/>
    <w:rsid w:val="005D425C"/>
    <w:rsid w:val="005D50E0"/>
    <w:rsid w:val="005D53AD"/>
    <w:rsid w:val="005D5BFB"/>
    <w:rsid w:val="005D6C3E"/>
    <w:rsid w:val="005D73BD"/>
    <w:rsid w:val="005D7461"/>
    <w:rsid w:val="005D753A"/>
    <w:rsid w:val="005E1078"/>
    <w:rsid w:val="005E111E"/>
    <w:rsid w:val="005E1235"/>
    <w:rsid w:val="005E29F1"/>
    <w:rsid w:val="005E3A24"/>
    <w:rsid w:val="005E4669"/>
    <w:rsid w:val="005E7679"/>
    <w:rsid w:val="005E7BC2"/>
    <w:rsid w:val="005F15D6"/>
    <w:rsid w:val="005F32AD"/>
    <w:rsid w:val="005F7F36"/>
    <w:rsid w:val="0060033B"/>
    <w:rsid w:val="00600501"/>
    <w:rsid w:val="006019BF"/>
    <w:rsid w:val="006031FD"/>
    <w:rsid w:val="0060414B"/>
    <w:rsid w:val="006044BC"/>
    <w:rsid w:val="00604C38"/>
    <w:rsid w:val="00604C82"/>
    <w:rsid w:val="00607803"/>
    <w:rsid w:val="00607F08"/>
    <w:rsid w:val="00612F3A"/>
    <w:rsid w:val="0061345B"/>
    <w:rsid w:val="0061413A"/>
    <w:rsid w:val="0061485B"/>
    <w:rsid w:val="0061571E"/>
    <w:rsid w:val="006176A0"/>
    <w:rsid w:val="006204AB"/>
    <w:rsid w:val="0062302A"/>
    <w:rsid w:val="006255D1"/>
    <w:rsid w:val="00625642"/>
    <w:rsid w:val="006263CA"/>
    <w:rsid w:val="006269F0"/>
    <w:rsid w:val="00626B98"/>
    <w:rsid w:val="006272BD"/>
    <w:rsid w:val="00627ABD"/>
    <w:rsid w:val="00627BF0"/>
    <w:rsid w:val="006324E4"/>
    <w:rsid w:val="00633DEF"/>
    <w:rsid w:val="00637522"/>
    <w:rsid w:val="006409B6"/>
    <w:rsid w:val="00642BCB"/>
    <w:rsid w:val="00642FEF"/>
    <w:rsid w:val="006442C4"/>
    <w:rsid w:val="00645453"/>
    <w:rsid w:val="00646200"/>
    <w:rsid w:val="00646EE2"/>
    <w:rsid w:val="00647399"/>
    <w:rsid w:val="0065066E"/>
    <w:rsid w:val="00652B68"/>
    <w:rsid w:val="00653B95"/>
    <w:rsid w:val="00655A12"/>
    <w:rsid w:val="00656697"/>
    <w:rsid w:val="00657942"/>
    <w:rsid w:val="00663DD8"/>
    <w:rsid w:val="00664FEC"/>
    <w:rsid w:val="00665C4B"/>
    <w:rsid w:val="0067064C"/>
    <w:rsid w:val="006711E6"/>
    <w:rsid w:val="00674791"/>
    <w:rsid w:val="00675E11"/>
    <w:rsid w:val="006765DA"/>
    <w:rsid w:val="00677D4E"/>
    <w:rsid w:val="00680DDF"/>
    <w:rsid w:val="0068142B"/>
    <w:rsid w:val="006822E7"/>
    <w:rsid w:val="00682DDC"/>
    <w:rsid w:val="0068571D"/>
    <w:rsid w:val="006869BE"/>
    <w:rsid w:val="00691115"/>
    <w:rsid w:val="0069112F"/>
    <w:rsid w:val="0069196D"/>
    <w:rsid w:val="00694928"/>
    <w:rsid w:val="00696FC2"/>
    <w:rsid w:val="0069734A"/>
    <w:rsid w:val="00697A2E"/>
    <w:rsid w:val="006A26E3"/>
    <w:rsid w:val="006A543A"/>
    <w:rsid w:val="006A5CE1"/>
    <w:rsid w:val="006A7F37"/>
    <w:rsid w:val="006B0390"/>
    <w:rsid w:val="006B1B0E"/>
    <w:rsid w:val="006B3EA0"/>
    <w:rsid w:val="006B52A3"/>
    <w:rsid w:val="006B7D03"/>
    <w:rsid w:val="006C16BC"/>
    <w:rsid w:val="006C1F55"/>
    <w:rsid w:val="006C3A51"/>
    <w:rsid w:val="006C5255"/>
    <w:rsid w:val="006C6A46"/>
    <w:rsid w:val="006C77E1"/>
    <w:rsid w:val="006C7DC5"/>
    <w:rsid w:val="006D15D4"/>
    <w:rsid w:val="006D4802"/>
    <w:rsid w:val="006E119F"/>
    <w:rsid w:val="006E1233"/>
    <w:rsid w:val="006E39D5"/>
    <w:rsid w:val="006E4AD1"/>
    <w:rsid w:val="006E54F2"/>
    <w:rsid w:val="006E59C0"/>
    <w:rsid w:val="006E75CE"/>
    <w:rsid w:val="006F19E2"/>
    <w:rsid w:val="006F4994"/>
    <w:rsid w:val="006F64DD"/>
    <w:rsid w:val="006F671B"/>
    <w:rsid w:val="00702DDC"/>
    <w:rsid w:val="00706AB3"/>
    <w:rsid w:val="00707EEC"/>
    <w:rsid w:val="00710371"/>
    <w:rsid w:val="007110EA"/>
    <w:rsid w:val="007113CE"/>
    <w:rsid w:val="007120AE"/>
    <w:rsid w:val="0071521F"/>
    <w:rsid w:val="00717204"/>
    <w:rsid w:val="00717D6A"/>
    <w:rsid w:val="00721273"/>
    <w:rsid w:val="0072380E"/>
    <w:rsid w:val="007245EE"/>
    <w:rsid w:val="0072510E"/>
    <w:rsid w:val="007261C8"/>
    <w:rsid w:val="007273F6"/>
    <w:rsid w:val="00731189"/>
    <w:rsid w:val="007325C2"/>
    <w:rsid w:val="00734EC2"/>
    <w:rsid w:val="00736C3A"/>
    <w:rsid w:val="00737775"/>
    <w:rsid w:val="007378AE"/>
    <w:rsid w:val="00740482"/>
    <w:rsid w:val="00740962"/>
    <w:rsid w:val="00740ACC"/>
    <w:rsid w:val="00740DD7"/>
    <w:rsid w:val="00741210"/>
    <w:rsid w:val="007424BC"/>
    <w:rsid w:val="00744B81"/>
    <w:rsid w:val="0074527C"/>
    <w:rsid w:val="0074574B"/>
    <w:rsid w:val="00745C8E"/>
    <w:rsid w:val="007472CA"/>
    <w:rsid w:val="00747B9C"/>
    <w:rsid w:val="007514BE"/>
    <w:rsid w:val="00754FEA"/>
    <w:rsid w:val="0075548A"/>
    <w:rsid w:val="0075632B"/>
    <w:rsid w:val="00757CB8"/>
    <w:rsid w:val="007616FE"/>
    <w:rsid w:val="0076220E"/>
    <w:rsid w:val="00762223"/>
    <w:rsid w:val="007637C5"/>
    <w:rsid w:val="007648C1"/>
    <w:rsid w:val="00764CCA"/>
    <w:rsid w:val="007656B3"/>
    <w:rsid w:val="00766C1B"/>
    <w:rsid w:val="00767741"/>
    <w:rsid w:val="007703F6"/>
    <w:rsid w:val="00771D94"/>
    <w:rsid w:val="00776ABB"/>
    <w:rsid w:val="0077700F"/>
    <w:rsid w:val="007777F7"/>
    <w:rsid w:val="00780562"/>
    <w:rsid w:val="00780DBD"/>
    <w:rsid w:val="00781CF5"/>
    <w:rsid w:val="00782A75"/>
    <w:rsid w:val="00782E9F"/>
    <w:rsid w:val="00784BF9"/>
    <w:rsid w:val="00785026"/>
    <w:rsid w:val="00785390"/>
    <w:rsid w:val="00787E4B"/>
    <w:rsid w:val="007918D6"/>
    <w:rsid w:val="00792A44"/>
    <w:rsid w:val="00795EF0"/>
    <w:rsid w:val="0079601E"/>
    <w:rsid w:val="00796D8F"/>
    <w:rsid w:val="007A03AC"/>
    <w:rsid w:val="007A1B17"/>
    <w:rsid w:val="007A1BD6"/>
    <w:rsid w:val="007A1FB4"/>
    <w:rsid w:val="007A20C3"/>
    <w:rsid w:val="007A2FDC"/>
    <w:rsid w:val="007A3A8A"/>
    <w:rsid w:val="007B0B68"/>
    <w:rsid w:val="007B293A"/>
    <w:rsid w:val="007B2C53"/>
    <w:rsid w:val="007B31FE"/>
    <w:rsid w:val="007B4D14"/>
    <w:rsid w:val="007B5C94"/>
    <w:rsid w:val="007B601E"/>
    <w:rsid w:val="007B6704"/>
    <w:rsid w:val="007C0F91"/>
    <w:rsid w:val="007C1150"/>
    <w:rsid w:val="007C138C"/>
    <w:rsid w:val="007C64D2"/>
    <w:rsid w:val="007D052D"/>
    <w:rsid w:val="007D181E"/>
    <w:rsid w:val="007D27A9"/>
    <w:rsid w:val="007D59E7"/>
    <w:rsid w:val="007D63A2"/>
    <w:rsid w:val="007D6FEB"/>
    <w:rsid w:val="007D75EA"/>
    <w:rsid w:val="007D7DDF"/>
    <w:rsid w:val="007D7FE4"/>
    <w:rsid w:val="007E048B"/>
    <w:rsid w:val="007E16D8"/>
    <w:rsid w:val="007E1BC6"/>
    <w:rsid w:val="007E29D1"/>
    <w:rsid w:val="007E5030"/>
    <w:rsid w:val="007E64E6"/>
    <w:rsid w:val="007F0DBE"/>
    <w:rsid w:val="007F30FF"/>
    <w:rsid w:val="007F3456"/>
    <w:rsid w:val="007F691D"/>
    <w:rsid w:val="007F7692"/>
    <w:rsid w:val="007F7A28"/>
    <w:rsid w:val="00802F97"/>
    <w:rsid w:val="008038E9"/>
    <w:rsid w:val="00804FF0"/>
    <w:rsid w:val="008056EB"/>
    <w:rsid w:val="008068ED"/>
    <w:rsid w:val="008075D0"/>
    <w:rsid w:val="00810B6D"/>
    <w:rsid w:val="00811512"/>
    <w:rsid w:val="008116B9"/>
    <w:rsid w:val="00811FB5"/>
    <w:rsid w:val="008142D0"/>
    <w:rsid w:val="00816328"/>
    <w:rsid w:val="008168D5"/>
    <w:rsid w:val="00822D84"/>
    <w:rsid w:val="00822FAF"/>
    <w:rsid w:val="00822FFF"/>
    <w:rsid w:val="00825F7B"/>
    <w:rsid w:val="00826B3E"/>
    <w:rsid w:val="00827BFC"/>
    <w:rsid w:val="00830177"/>
    <w:rsid w:val="00830A99"/>
    <w:rsid w:val="0083138E"/>
    <w:rsid w:val="00831772"/>
    <w:rsid w:val="00831CB6"/>
    <w:rsid w:val="00834B42"/>
    <w:rsid w:val="00835126"/>
    <w:rsid w:val="00835E13"/>
    <w:rsid w:val="008370A8"/>
    <w:rsid w:val="0084185C"/>
    <w:rsid w:val="00843A82"/>
    <w:rsid w:val="008460C0"/>
    <w:rsid w:val="0084632F"/>
    <w:rsid w:val="008467AC"/>
    <w:rsid w:val="0085098C"/>
    <w:rsid w:val="008513B1"/>
    <w:rsid w:val="00854BE6"/>
    <w:rsid w:val="008564D8"/>
    <w:rsid w:val="008565F9"/>
    <w:rsid w:val="00856B3C"/>
    <w:rsid w:val="008579CC"/>
    <w:rsid w:val="00861AA5"/>
    <w:rsid w:val="0086658B"/>
    <w:rsid w:val="00867DF6"/>
    <w:rsid w:val="0087151C"/>
    <w:rsid w:val="00872126"/>
    <w:rsid w:val="00874B54"/>
    <w:rsid w:val="00876184"/>
    <w:rsid w:val="00882246"/>
    <w:rsid w:val="00883139"/>
    <w:rsid w:val="00883243"/>
    <w:rsid w:val="00884291"/>
    <w:rsid w:val="008845BC"/>
    <w:rsid w:val="00884881"/>
    <w:rsid w:val="00886226"/>
    <w:rsid w:val="00890B48"/>
    <w:rsid w:val="008914FD"/>
    <w:rsid w:val="00891583"/>
    <w:rsid w:val="00892FE6"/>
    <w:rsid w:val="00894DCB"/>
    <w:rsid w:val="0089593F"/>
    <w:rsid w:val="008A0893"/>
    <w:rsid w:val="008A21C9"/>
    <w:rsid w:val="008A39D2"/>
    <w:rsid w:val="008A7513"/>
    <w:rsid w:val="008B007F"/>
    <w:rsid w:val="008B089D"/>
    <w:rsid w:val="008B2F21"/>
    <w:rsid w:val="008B500C"/>
    <w:rsid w:val="008B56AC"/>
    <w:rsid w:val="008B6323"/>
    <w:rsid w:val="008B65EE"/>
    <w:rsid w:val="008B7E20"/>
    <w:rsid w:val="008C0268"/>
    <w:rsid w:val="008C0386"/>
    <w:rsid w:val="008C0527"/>
    <w:rsid w:val="008C07A8"/>
    <w:rsid w:val="008C0B78"/>
    <w:rsid w:val="008C28C5"/>
    <w:rsid w:val="008C2CF8"/>
    <w:rsid w:val="008C39CF"/>
    <w:rsid w:val="008C4C05"/>
    <w:rsid w:val="008C4F68"/>
    <w:rsid w:val="008C5EC9"/>
    <w:rsid w:val="008C766E"/>
    <w:rsid w:val="008C7E07"/>
    <w:rsid w:val="008D16EF"/>
    <w:rsid w:val="008D1758"/>
    <w:rsid w:val="008D21B8"/>
    <w:rsid w:val="008D2277"/>
    <w:rsid w:val="008D2D50"/>
    <w:rsid w:val="008D3C15"/>
    <w:rsid w:val="008D4A51"/>
    <w:rsid w:val="008D7370"/>
    <w:rsid w:val="008D775C"/>
    <w:rsid w:val="008E427F"/>
    <w:rsid w:val="008E4F72"/>
    <w:rsid w:val="008F0683"/>
    <w:rsid w:val="008F53EE"/>
    <w:rsid w:val="008F54FA"/>
    <w:rsid w:val="008F6124"/>
    <w:rsid w:val="008F710C"/>
    <w:rsid w:val="008F7F79"/>
    <w:rsid w:val="00901855"/>
    <w:rsid w:val="0090292B"/>
    <w:rsid w:val="00904352"/>
    <w:rsid w:val="00904678"/>
    <w:rsid w:val="009052F1"/>
    <w:rsid w:val="0090544F"/>
    <w:rsid w:val="00906177"/>
    <w:rsid w:val="00910E03"/>
    <w:rsid w:val="00913F17"/>
    <w:rsid w:val="009146D1"/>
    <w:rsid w:val="00917779"/>
    <w:rsid w:val="00920C8F"/>
    <w:rsid w:val="00921424"/>
    <w:rsid w:val="00923184"/>
    <w:rsid w:val="0092332E"/>
    <w:rsid w:val="00924038"/>
    <w:rsid w:val="00925245"/>
    <w:rsid w:val="00925A06"/>
    <w:rsid w:val="009263A0"/>
    <w:rsid w:val="00927280"/>
    <w:rsid w:val="00927BB1"/>
    <w:rsid w:val="009315EA"/>
    <w:rsid w:val="009369D2"/>
    <w:rsid w:val="009369E4"/>
    <w:rsid w:val="009400FF"/>
    <w:rsid w:val="00940210"/>
    <w:rsid w:val="00940803"/>
    <w:rsid w:val="00940FEE"/>
    <w:rsid w:val="0094179F"/>
    <w:rsid w:val="00942B1C"/>
    <w:rsid w:val="00943018"/>
    <w:rsid w:val="00944B8E"/>
    <w:rsid w:val="0094632A"/>
    <w:rsid w:val="00950207"/>
    <w:rsid w:val="00952163"/>
    <w:rsid w:val="00952796"/>
    <w:rsid w:val="00952EAE"/>
    <w:rsid w:val="00953092"/>
    <w:rsid w:val="009542D4"/>
    <w:rsid w:val="00954339"/>
    <w:rsid w:val="00954CD8"/>
    <w:rsid w:val="00955FF7"/>
    <w:rsid w:val="00957778"/>
    <w:rsid w:val="00963324"/>
    <w:rsid w:val="00964EC6"/>
    <w:rsid w:val="009664C2"/>
    <w:rsid w:val="009665BC"/>
    <w:rsid w:val="00967FD3"/>
    <w:rsid w:val="00970570"/>
    <w:rsid w:val="00970734"/>
    <w:rsid w:val="00970DBE"/>
    <w:rsid w:val="00971789"/>
    <w:rsid w:val="0097204D"/>
    <w:rsid w:val="00972272"/>
    <w:rsid w:val="00972C36"/>
    <w:rsid w:val="00972FCD"/>
    <w:rsid w:val="009751B8"/>
    <w:rsid w:val="00975C91"/>
    <w:rsid w:val="009769D2"/>
    <w:rsid w:val="00981341"/>
    <w:rsid w:val="00981F19"/>
    <w:rsid w:val="00983C6C"/>
    <w:rsid w:val="009854EC"/>
    <w:rsid w:val="00986148"/>
    <w:rsid w:val="009907E2"/>
    <w:rsid w:val="00991457"/>
    <w:rsid w:val="009919DA"/>
    <w:rsid w:val="00993C7D"/>
    <w:rsid w:val="009947B0"/>
    <w:rsid w:val="00994DDD"/>
    <w:rsid w:val="00994F06"/>
    <w:rsid w:val="00995211"/>
    <w:rsid w:val="00995463"/>
    <w:rsid w:val="0099755C"/>
    <w:rsid w:val="00997B37"/>
    <w:rsid w:val="009A03F6"/>
    <w:rsid w:val="009A6049"/>
    <w:rsid w:val="009A7864"/>
    <w:rsid w:val="009B1695"/>
    <w:rsid w:val="009B1885"/>
    <w:rsid w:val="009B46F2"/>
    <w:rsid w:val="009B5CDE"/>
    <w:rsid w:val="009B64EE"/>
    <w:rsid w:val="009C164D"/>
    <w:rsid w:val="009C18DA"/>
    <w:rsid w:val="009C292D"/>
    <w:rsid w:val="009C5868"/>
    <w:rsid w:val="009C58D3"/>
    <w:rsid w:val="009C5C30"/>
    <w:rsid w:val="009C65CC"/>
    <w:rsid w:val="009C7EEB"/>
    <w:rsid w:val="009D16CB"/>
    <w:rsid w:val="009D405F"/>
    <w:rsid w:val="009D5F36"/>
    <w:rsid w:val="009E08DF"/>
    <w:rsid w:val="009E2375"/>
    <w:rsid w:val="009E2F18"/>
    <w:rsid w:val="009E34B9"/>
    <w:rsid w:val="009E3B9E"/>
    <w:rsid w:val="009E43A4"/>
    <w:rsid w:val="009E4B5B"/>
    <w:rsid w:val="009E590D"/>
    <w:rsid w:val="009E6EA5"/>
    <w:rsid w:val="009F1168"/>
    <w:rsid w:val="009F2C83"/>
    <w:rsid w:val="009F426B"/>
    <w:rsid w:val="009F4D9C"/>
    <w:rsid w:val="009F7A07"/>
    <w:rsid w:val="00A025B0"/>
    <w:rsid w:val="00A04FDC"/>
    <w:rsid w:val="00A051F4"/>
    <w:rsid w:val="00A05AF9"/>
    <w:rsid w:val="00A05EA3"/>
    <w:rsid w:val="00A0680A"/>
    <w:rsid w:val="00A077CD"/>
    <w:rsid w:val="00A10DBA"/>
    <w:rsid w:val="00A11029"/>
    <w:rsid w:val="00A115F4"/>
    <w:rsid w:val="00A13FBC"/>
    <w:rsid w:val="00A15EFD"/>
    <w:rsid w:val="00A1686E"/>
    <w:rsid w:val="00A169A1"/>
    <w:rsid w:val="00A16AAD"/>
    <w:rsid w:val="00A220CA"/>
    <w:rsid w:val="00A2341F"/>
    <w:rsid w:val="00A2363A"/>
    <w:rsid w:val="00A238A0"/>
    <w:rsid w:val="00A24362"/>
    <w:rsid w:val="00A25F9F"/>
    <w:rsid w:val="00A27491"/>
    <w:rsid w:val="00A313D0"/>
    <w:rsid w:val="00A3184C"/>
    <w:rsid w:val="00A31882"/>
    <w:rsid w:val="00A34D25"/>
    <w:rsid w:val="00A35330"/>
    <w:rsid w:val="00A35572"/>
    <w:rsid w:val="00A36C71"/>
    <w:rsid w:val="00A42677"/>
    <w:rsid w:val="00A43405"/>
    <w:rsid w:val="00A43D7B"/>
    <w:rsid w:val="00A450B7"/>
    <w:rsid w:val="00A46169"/>
    <w:rsid w:val="00A5151A"/>
    <w:rsid w:val="00A54F2A"/>
    <w:rsid w:val="00A556F3"/>
    <w:rsid w:val="00A57DB9"/>
    <w:rsid w:val="00A65048"/>
    <w:rsid w:val="00A673CF"/>
    <w:rsid w:val="00A67A4D"/>
    <w:rsid w:val="00A713A1"/>
    <w:rsid w:val="00A721FD"/>
    <w:rsid w:val="00A74486"/>
    <w:rsid w:val="00A75E12"/>
    <w:rsid w:val="00A76B1C"/>
    <w:rsid w:val="00A852A4"/>
    <w:rsid w:val="00A85FA4"/>
    <w:rsid w:val="00A86DAC"/>
    <w:rsid w:val="00A8776F"/>
    <w:rsid w:val="00A90C4A"/>
    <w:rsid w:val="00A91220"/>
    <w:rsid w:val="00A91DB6"/>
    <w:rsid w:val="00A93CA8"/>
    <w:rsid w:val="00A95B82"/>
    <w:rsid w:val="00A9750F"/>
    <w:rsid w:val="00AA02F4"/>
    <w:rsid w:val="00AA3D60"/>
    <w:rsid w:val="00AA49CE"/>
    <w:rsid w:val="00AA4C6E"/>
    <w:rsid w:val="00AA5322"/>
    <w:rsid w:val="00AA5628"/>
    <w:rsid w:val="00AA5C6C"/>
    <w:rsid w:val="00AA74FE"/>
    <w:rsid w:val="00AA7947"/>
    <w:rsid w:val="00AB00E9"/>
    <w:rsid w:val="00AB0430"/>
    <w:rsid w:val="00AB1DFC"/>
    <w:rsid w:val="00AB2501"/>
    <w:rsid w:val="00AB3D46"/>
    <w:rsid w:val="00AB585E"/>
    <w:rsid w:val="00AB764E"/>
    <w:rsid w:val="00AC12D4"/>
    <w:rsid w:val="00AC20A5"/>
    <w:rsid w:val="00AC3E39"/>
    <w:rsid w:val="00AC60C6"/>
    <w:rsid w:val="00AC65A6"/>
    <w:rsid w:val="00AC70A0"/>
    <w:rsid w:val="00AC7882"/>
    <w:rsid w:val="00AD4594"/>
    <w:rsid w:val="00AD464A"/>
    <w:rsid w:val="00AD4C04"/>
    <w:rsid w:val="00AD5D66"/>
    <w:rsid w:val="00AE1EE9"/>
    <w:rsid w:val="00AE21F3"/>
    <w:rsid w:val="00AE31A0"/>
    <w:rsid w:val="00AE35A0"/>
    <w:rsid w:val="00AE37E9"/>
    <w:rsid w:val="00AE38D3"/>
    <w:rsid w:val="00AE4F5E"/>
    <w:rsid w:val="00AE5274"/>
    <w:rsid w:val="00AE55AB"/>
    <w:rsid w:val="00AE5F6E"/>
    <w:rsid w:val="00AE718C"/>
    <w:rsid w:val="00AE7D26"/>
    <w:rsid w:val="00AF0263"/>
    <w:rsid w:val="00AF0E37"/>
    <w:rsid w:val="00AF2BA6"/>
    <w:rsid w:val="00AF33C2"/>
    <w:rsid w:val="00AF3CD2"/>
    <w:rsid w:val="00AF3E2A"/>
    <w:rsid w:val="00AF4D5B"/>
    <w:rsid w:val="00AF4DAC"/>
    <w:rsid w:val="00AF515F"/>
    <w:rsid w:val="00AF57DC"/>
    <w:rsid w:val="00AF5D13"/>
    <w:rsid w:val="00AF74B2"/>
    <w:rsid w:val="00B0014F"/>
    <w:rsid w:val="00B004CD"/>
    <w:rsid w:val="00B00D3C"/>
    <w:rsid w:val="00B01488"/>
    <w:rsid w:val="00B0250A"/>
    <w:rsid w:val="00B02C19"/>
    <w:rsid w:val="00B0300D"/>
    <w:rsid w:val="00B034FC"/>
    <w:rsid w:val="00B0398D"/>
    <w:rsid w:val="00B040C1"/>
    <w:rsid w:val="00B049FC"/>
    <w:rsid w:val="00B05821"/>
    <w:rsid w:val="00B05A7D"/>
    <w:rsid w:val="00B065F3"/>
    <w:rsid w:val="00B13624"/>
    <w:rsid w:val="00B15B69"/>
    <w:rsid w:val="00B17472"/>
    <w:rsid w:val="00B20F7B"/>
    <w:rsid w:val="00B21994"/>
    <w:rsid w:val="00B2521A"/>
    <w:rsid w:val="00B26F05"/>
    <w:rsid w:val="00B2739E"/>
    <w:rsid w:val="00B303D4"/>
    <w:rsid w:val="00B30E4F"/>
    <w:rsid w:val="00B314C8"/>
    <w:rsid w:val="00B32A96"/>
    <w:rsid w:val="00B33684"/>
    <w:rsid w:val="00B34C00"/>
    <w:rsid w:val="00B35153"/>
    <w:rsid w:val="00B36423"/>
    <w:rsid w:val="00B37528"/>
    <w:rsid w:val="00B4097C"/>
    <w:rsid w:val="00B4437D"/>
    <w:rsid w:val="00B47DBB"/>
    <w:rsid w:val="00B47F23"/>
    <w:rsid w:val="00B52652"/>
    <w:rsid w:val="00B52734"/>
    <w:rsid w:val="00B52809"/>
    <w:rsid w:val="00B52FAF"/>
    <w:rsid w:val="00B54E43"/>
    <w:rsid w:val="00B553A6"/>
    <w:rsid w:val="00B567FB"/>
    <w:rsid w:val="00B60475"/>
    <w:rsid w:val="00B60F64"/>
    <w:rsid w:val="00B6233F"/>
    <w:rsid w:val="00B630BF"/>
    <w:rsid w:val="00B63E53"/>
    <w:rsid w:val="00B66B62"/>
    <w:rsid w:val="00B7206E"/>
    <w:rsid w:val="00B729AF"/>
    <w:rsid w:val="00B73306"/>
    <w:rsid w:val="00B7428E"/>
    <w:rsid w:val="00B75700"/>
    <w:rsid w:val="00B75B59"/>
    <w:rsid w:val="00B76B3F"/>
    <w:rsid w:val="00B76EF8"/>
    <w:rsid w:val="00B77D89"/>
    <w:rsid w:val="00B80A63"/>
    <w:rsid w:val="00B81429"/>
    <w:rsid w:val="00B82B0C"/>
    <w:rsid w:val="00B8658F"/>
    <w:rsid w:val="00B914DA"/>
    <w:rsid w:val="00B92A9E"/>
    <w:rsid w:val="00B93290"/>
    <w:rsid w:val="00B93D04"/>
    <w:rsid w:val="00B9444F"/>
    <w:rsid w:val="00B944E5"/>
    <w:rsid w:val="00B94631"/>
    <w:rsid w:val="00B9663A"/>
    <w:rsid w:val="00B969CF"/>
    <w:rsid w:val="00B96E2E"/>
    <w:rsid w:val="00B970C7"/>
    <w:rsid w:val="00B97CE6"/>
    <w:rsid w:val="00BA1699"/>
    <w:rsid w:val="00BA597F"/>
    <w:rsid w:val="00BA7BA9"/>
    <w:rsid w:val="00BB1F11"/>
    <w:rsid w:val="00BB7370"/>
    <w:rsid w:val="00BC0243"/>
    <w:rsid w:val="00BC0AE7"/>
    <w:rsid w:val="00BC10C2"/>
    <w:rsid w:val="00BC221A"/>
    <w:rsid w:val="00BC40D2"/>
    <w:rsid w:val="00BC646D"/>
    <w:rsid w:val="00BD17DE"/>
    <w:rsid w:val="00BD22FA"/>
    <w:rsid w:val="00BD490E"/>
    <w:rsid w:val="00BD5C9A"/>
    <w:rsid w:val="00BD5E61"/>
    <w:rsid w:val="00BD6C95"/>
    <w:rsid w:val="00BD7F8A"/>
    <w:rsid w:val="00BE0489"/>
    <w:rsid w:val="00BE0D3D"/>
    <w:rsid w:val="00BE0F2E"/>
    <w:rsid w:val="00BE1CA7"/>
    <w:rsid w:val="00BE3087"/>
    <w:rsid w:val="00BE6B39"/>
    <w:rsid w:val="00BE7397"/>
    <w:rsid w:val="00BE7628"/>
    <w:rsid w:val="00BE7696"/>
    <w:rsid w:val="00BF09FE"/>
    <w:rsid w:val="00BF1110"/>
    <w:rsid w:val="00BF131C"/>
    <w:rsid w:val="00BF2D19"/>
    <w:rsid w:val="00BF390C"/>
    <w:rsid w:val="00BF3D21"/>
    <w:rsid w:val="00BF460B"/>
    <w:rsid w:val="00BF54F1"/>
    <w:rsid w:val="00BF5DC0"/>
    <w:rsid w:val="00BF5FAD"/>
    <w:rsid w:val="00C041AA"/>
    <w:rsid w:val="00C04903"/>
    <w:rsid w:val="00C0579E"/>
    <w:rsid w:val="00C05F57"/>
    <w:rsid w:val="00C06029"/>
    <w:rsid w:val="00C11F21"/>
    <w:rsid w:val="00C13014"/>
    <w:rsid w:val="00C13AD7"/>
    <w:rsid w:val="00C14F1C"/>
    <w:rsid w:val="00C16EFC"/>
    <w:rsid w:val="00C17120"/>
    <w:rsid w:val="00C176B0"/>
    <w:rsid w:val="00C200EE"/>
    <w:rsid w:val="00C2022C"/>
    <w:rsid w:val="00C231D4"/>
    <w:rsid w:val="00C2408A"/>
    <w:rsid w:val="00C24722"/>
    <w:rsid w:val="00C26C8E"/>
    <w:rsid w:val="00C27FD8"/>
    <w:rsid w:val="00C30C1B"/>
    <w:rsid w:val="00C31656"/>
    <w:rsid w:val="00C316A4"/>
    <w:rsid w:val="00C31A81"/>
    <w:rsid w:val="00C31E61"/>
    <w:rsid w:val="00C320FB"/>
    <w:rsid w:val="00C33987"/>
    <w:rsid w:val="00C33E86"/>
    <w:rsid w:val="00C344C8"/>
    <w:rsid w:val="00C34604"/>
    <w:rsid w:val="00C36630"/>
    <w:rsid w:val="00C40796"/>
    <w:rsid w:val="00C408F4"/>
    <w:rsid w:val="00C41C69"/>
    <w:rsid w:val="00C42BCD"/>
    <w:rsid w:val="00C42CB1"/>
    <w:rsid w:val="00C43D71"/>
    <w:rsid w:val="00C45E82"/>
    <w:rsid w:val="00C4642E"/>
    <w:rsid w:val="00C50448"/>
    <w:rsid w:val="00C5111B"/>
    <w:rsid w:val="00C51403"/>
    <w:rsid w:val="00C52B95"/>
    <w:rsid w:val="00C53ADB"/>
    <w:rsid w:val="00C54865"/>
    <w:rsid w:val="00C60951"/>
    <w:rsid w:val="00C62498"/>
    <w:rsid w:val="00C634D7"/>
    <w:rsid w:val="00C63550"/>
    <w:rsid w:val="00C6473D"/>
    <w:rsid w:val="00C668C4"/>
    <w:rsid w:val="00C66C78"/>
    <w:rsid w:val="00C66CEB"/>
    <w:rsid w:val="00C707A3"/>
    <w:rsid w:val="00C73034"/>
    <w:rsid w:val="00C74F15"/>
    <w:rsid w:val="00C75058"/>
    <w:rsid w:val="00C76277"/>
    <w:rsid w:val="00C769DE"/>
    <w:rsid w:val="00C76CA8"/>
    <w:rsid w:val="00C77020"/>
    <w:rsid w:val="00C77EBE"/>
    <w:rsid w:val="00C813BD"/>
    <w:rsid w:val="00C8163A"/>
    <w:rsid w:val="00C82E87"/>
    <w:rsid w:val="00C8390D"/>
    <w:rsid w:val="00C8451C"/>
    <w:rsid w:val="00C8478D"/>
    <w:rsid w:val="00C849AE"/>
    <w:rsid w:val="00C85451"/>
    <w:rsid w:val="00C85BD6"/>
    <w:rsid w:val="00C8660C"/>
    <w:rsid w:val="00C86BD8"/>
    <w:rsid w:val="00C9371B"/>
    <w:rsid w:val="00C93AEA"/>
    <w:rsid w:val="00C9550E"/>
    <w:rsid w:val="00C96177"/>
    <w:rsid w:val="00CA013D"/>
    <w:rsid w:val="00CA0828"/>
    <w:rsid w:val="00CA0B0B"/>
    <w:rsid w:val="00CA0FA4"/>
    <w:rsid w:val="00CA2EFE"/>
    <w:rsid w:val="00CA5B01"/>
    <w:rsid w:val="00CA5E37"/>
    <w:rsid w:val="00CA619A"/>
    <w:rsid w:val="00CA7139"/>
    <w:rsid w:val="00CA7769"/>
    <w:rsid w:val="00CB0BCE"/>
    <w:rsid w:val="00CB11F2"/>
    <w:rsid w:val="00CB465A"/>
    <w:rsid w:val="00CB4F1B"/>
    <w:rsid w:val="00CB5E9D"/>
    <w:rsid w:val="00CB7230"/>
    <w:rsid w:val="00CC02E2"/>
    <w:rsid w:val="00CC0CA6"/>
    <w:rsid w:val="00CC170D"/>
    <w:rsid w:val="00CC3605"/>
    <w:rsid w:val="00CC5257"/>
    <w:rsid w:val="00CC56A3"/>
    <w:rsid w:val="00CC6B4D"/>
    <w:rsid w:val="00CC74C3"/>
    <w:rsid w:val="00CC786A"/>
    <w:rsid w:val="00CD0E53"/>
    <w:rsid w:val="00CD4688"/>
    <w:rsid w:val="00CD7B9B"/>
    <w:rsid w:val="00CD7C30"/>
    <w:rsid w:val="00CE099C"/>
    <w:rsid w:val="00CE11B1"/>
    <w:rsid w:val="00CE274D"/>
    <w:rsid w:val="00CE36D4"/>
    <w:rsid w:val="00CE6D29"/>
    <w:rsid w:val="00CE7A61"/>
    <w:rsid w:val="00CF080D"/>
    <w:rsid w:val="00CF0853"/>
    <w:rsid w:val="00CF116C"/>
    <w:rsid w:val="00CF2E39"/>
    <w:rsid w:val="00CF45C2"/>
    <w:rsid w:val="00CF5227"/>
    <w:rsid w:val="00CF58C9"/>
    <w:rsid w:val="00CF68A8"/>
    <w:rsid w:val="00CF6EC4"/>
    <w:rsid w:val="00CF6FFF"/>
    <w:rsid w:val="00D0185B"/>
    <w:rsid w:val="00D028B2"/>
    <w:rsid w:val="00D040E2"/>
    <w:rsid w:val="00D0512A"/>
    <w:rsid w:val="00D05C52"/>
    <w:rsid w:val="00D11B03"/>
    <w:rsid w:val="00D12A80"/>
    <w:rsid w:val="00D152EB"/>
    <w:rsid w:val="00D16687"/>
    <w:rsid w:val="00D16BA0"/>
    <w:rsid w:val="00D17D10"/>
    <w:rsid w:val="00D203E1"/>
    <w:rsid w:val="00D20499"/>
    <w:rsid w:val="00D2116E"/>
    <w:rsid w:val="00D2148C"/>
    <w:rsid w:val="00D21BC3"/>
    <w:rsid w:val="00D228E5"/>
    <w:rsid w:val="00D23023"/>
    <w:rsid w:val="00D306FD"/>
    <w:rsid w:val="00D3176B"/>
    <w:rsid w:val="00D3223E"/>
    <w:rsid w:val="00D329DB"/>
    <w:rsid w:val="00D34C3A"/>
    <w:rsid w:val="00D35A6E"/>
    <w:rsid w:val="00D35F9B"/>
    <w:rsid w:val="00D36C8C"/>
    <w:rsid w:val="00D43983"/>
    <w:rsid w:val="00D44D92"/>
    <w:rsid w:val="00D45076"/>
    <w:rsid w:val="00D4686E"/>
    <w:rsid w:val="00D47CF9"/>
    <w:rsid w:val="00D533D3"/>
    <w:rsid w:val="00D54105"/>
    <w:rsid w:val="00D56F6A"/>
    <w:rsid w:val="00D57B46"/>
    <w:rsid w:val="00D57B48"/>
    <w:rsid w:val="00D614C7"/>
    <w:rsid w:val="00D61F00"/>
    <w:rsid w:val="00D62896"/>
    <w:rsid w:val="00D63A0B"/>
    <w:rsid w:val="00D65481"/>
    <w:rsid w:val="00D65521"/>
    <w:rsid w:val="00D67502"/>
    <w:rsid w:val="00D727F6"/>
    <w:rsid w:val="00D7467A"/>
    <w:rsid w:val="00D74AA7"/>
    <w:rsid w:val="00D7652A"/>
    <w:rsid w:val="00D76E94"/>
    <w:rsid w:val="00D80665"/>
    <w:rsid w:val="00D81C06"/>
    <w:rsid w:val="00D84A4C"/>
    <w:rsid w:val="00D92DCD"/>
    <w:rsid w:val="00D936A4"/>
    <w:rsid w:val="00D94FA0"/>
    <w:rsid w:val="00D9626A"/>
    <w:rsid w:val="00D963D3"/>
    <w:rsid w:val="00D9785C"/>
    <w:rsid w:val="00DA402C"/>
    <w:rsid w:val="00DA410E"/>
    <w:rsid w:val="00DA4972"/>
    <w:rsid w:val="00DA55A5"/>
    <w:rsid w:val="00DA5C5A"/>
    <w:rsid w:val="00DA6280"/>
    <w:rsid w:val="00DB0211"/>
    <w:rsid w:val="00DB059F"/>
    <w:rsid w:val="00DB0ED4"/>
    <w:rsid w:val="00DB34D0"/>
    <w:rsid w:val="00DB39C4"/>
    <w:rsid w:val="00DB3BFD"/>
    <w:rsid w:val="00DB49D3"/>
    <w:rsid w:val="00DB6AFB"/>
    <w:rsid w:val="00DC0566"/>
    <w:rsid w:val="00DC0F4E"/>
    <w:rsid w:val="00DC379B"/>
    <w:rsid w:val="00DC5AED"/>
    <w:rsid w:val="00DC75D7"/>
    <w:rsid w:val="00DC76F8"/>
    <w:rsid w:val="00DC7AF2"/>
    <w:rsid w:val="00DD1072"/>
    <w:rsid w:val="00DD1121"/>
    <w:rsid w:val="00DD2BAD"/>
    <w:rsid w:val="00DD2F4C"/>
    <w:rsid w:val="00DD52F7"/>
    <w:rsid w:val="00DD6431"/>
    <w:rsid w:val="00DD677A"/>
    <w:rsid w:val="00DD777F"/>
    <w:rsid w:val="00DE1F0F"/>
    <w:rsid w:val="00DE2945"/>
    <w:rsid w:val="00DE2D1A"/>
    <w:rsid w:val="00DE358B"/>
    <w:rsid w:val="00DE384E"/>
    <w:rsid w:val="00DE678C"/>
    <w:rsid w:val="00DE7B9A"/>
    <w:rsid w:val="00DF0A70"/>
    <w:rsid w:val="00DF1C80"/>
    <w:rsid w:val="00DF1CE6"/>
    <w:rsid w:val="00DF38D3"/>
    <w:rsid w:val="00DF436C"/>
    <w:rsid w:val="00DF545C"/>
    <w:rsid w:val="00DF63A1"/>
    <w:rsid w:val="00DF78B7"/>
    <w:rsid w:val="00E00195"/>
    <w:rsid w:val="00E00B25"/>
    <w:rsid w:val="00E01D14"/>
    <w:rsid w:val="00E01D18"/>
    <w:rsid w:val="00E03FA5"/>
    <w:rsid w:val="00E059C6"/>
    <w:rsid w:val="00E05BEE"/>
    <w:rsid w:val="00E14AD0"/>
    <w:rsid w:val="00E15307"/>
    <w:rsid w:val="00E162D6"/>
    <w:rsid w:val="00E20658"/>
    <w:rsid w:val="00E22DB2"/>
    <w:rsid w:val="00E234C4"/>
    <w:rsid w:val="00E236F7"/>
    <w:rsid w:val="00E2371C"/>
    <w:rsid w:val="00E2575E"/>
    <w:rsid w:val="00E25A5D"/>
    <w:rsid w:val="00E30531"/>
    <w:rsid w:val="00E30C0B"/>
    <w:rsid w:val="00E31570"/>
    <w:rsid w:val="00E36B65"/>
    <w:rsid w:val="00E374D3"/>
    <w:rsid w:val="00E3786F"/>
    <w:rsid w:val="00E40E09"/>
    <w:rsid w:val="00E43338"/>
    <w:rsid w:val="00E4393A"/>
    <w:rsid w:val="00E43EE8"/>
    <w:rsid w:val="00E4665E"/>
    <w:rsid w:val="00E47842"/>
    <w:rsid w:val="00E50E44"/>
    <w:rsid w:val="00E51725"/>
    <w:rsid w:val="00E53C06"/>
    <w:rsid w:val="00E574ED"/>
    <w:rsid w:val="00E57A19"/>
    <w:rsid w:val="00E642B7"/>
    <w:rsid w:val="00E64723"/>
    <w:rsid w:val="00E66F4E"/>
    <w:rsid w:val="00E67C6E"/>
    <w:rsid w:val="00E7111E"/>
    <w:rsid w:val="00E7189B"/>
    <w:rsid w:val="00E71B91"/>
    <w:rsid w:val="00E727AA"/>
    <w:rsid w:val="00E736D7"/>
    <w:rsid w:val="00E74905"/>
    <w:rsid w:val="00E75006"/>
    <w:rsid w:val="00E76935"/>
    <w:rsid w:val="00E772C1"/>
    <w:rsid w:val="00E7769C"/>
    <w:rsid w:val="00E8027D"/>
    <w:rsid w:val="00E80745"/>
    <w:rsid w:val="00E87811"/>
    <w:rsid w:val="00E91954"/>
    <w:rsid w:val="00E92E87"/>
    <w:rsid w:val="00E9343D"/>
    <w:rsid w:val="00E93BE4"/>
    <w:rsid w:val="00E95608"/>
    <w:rsid w:val="00E97C2C"/>
    <w:rsid w:val="00EA11BF"/>
    <w:rsid w:val="00EA6114"/>
    <w:rsid w:val="00EB06AC"/>
    <w:rsid w:val="00EB38EC"/>
    <w:rsid w:val="00EB4E70"/>
    <w:rsid w:val="00EB6215"/>
    <w:rsid w:val="00EB70E2"/>
    <w:rsid w:val="00EC181D"/>
    <w:rsid w:val="00EC3178"/>
    <w:rsid w:val="00EC3794"/>
    <w:rsid w:val="00EC4BFE"/>
    <w:rsid w:val="00EC7B37"/>
    <w:rsid w:val="00ED02A4"/>
    <w:rsid w:val="00ED1943"/>
    <w:rsid w:val="00ED21BF"/>
    <w:rsid w:val="00ED35CC"/>
    <w:rsid w:val="00ED36B3"/>
    <w:rsid w:val="00ED3A86"/>
    <w:rsid w:val="00ED44E2"/>
    <w:rsid w:val="00ED4F5B"/>
    <w:rsid w:val="00ED5F2D"/>
    <w:rsid w:val="00ED6597"/>
    <w:rsid w:val="00ED6C5B"/>
    <w:rsid w:val="00ED7C6A"/>
    <w:rsid w:val="00EE1B17"/>
    <w:rsid w:val="00EE30B7"/>
    <w:rsid w:val="00EE38AE"/>
    <w:rsid w:val="00EE47F1"/>
    <w:rsid w:val="00EE4CE5"/>
    <w:rsid w:val="00EE516D"/>
    <w:rsid w:val="00EE69FD"/>
    <w:rsid w:val="00EF0777"/>
    <w:rsid w:val="00EF1F96"/>
    <w:rsid w:val="00EF22DE"/>
    <w:rsid w:val="00EF2F60"/>
    <w:rsid w:val="00EF549A"/>
    <w:rsid w:val="00EF6242"/>
    <w:rsid w:val="00EF6FE4"/>
    <w:rsid w:val="00EF7AA4"/>
    <w:rsid w:val="00F02E74"/>
    <w:rsid w:val="00F05CC9"/>
    <w:rsid w:val="00F07D03"/>
    <w:rsid w:val="00F100F0"/>
    <w:rsid w:val="00F1046D"/>
    <w:rsid w:val="00F107EF"/>
    <w:rsid w:val="00F10FC8"/>
    <w:rsid w:val="00F11CDC"/>
    <w:rsid w:val="00F14D9D"/>
    <w:rsid w:val="00F15456"/>
    <w:rsid w:val="00F154A0"/>
    <w:rsid w:val="00F209FF"/>
    <w:rsid w:val="00F21CD6"/>
    <w:rsid w:val="00F238BB"/>
    <w:rsid w:val="00F268DD"/>
    <w:rsid w:val="00F27B82"/>
    <w:rsid w:val="00F302A8"/>
    <w:rsid w:val="00F323F4"/>
    <w:rsid w:val="00F32B03"/>
    <w:rsid w:val="00F36C1A"/>
    <w:rsid w:val="00F37D14"/>
    <w:rsid w:val="00F42D0D"/>
    <w:rsid w:val="00F444F8"/>
    <w:rsid w:val="00F447EB"/>
    <w:rsid w:val="00F4550A"/>
    <w:rsid w:val="00F45C67"/>
    <w:rsid w:val="00F470A3"/>
    <w:rsid w:val="00F5153E"/>
    <w:rsid w:val="00F51875"/>
    <w:rsid w:val="00F53892"/>
    <w:rsid w:val="00F53C8C"/>
    <w:rsid w:val="00F56611"/>
    <w:rsid w:val="00F577FF"/>
    <w:rsid w:val="00F60AF9"/>
    <w:rsid w:val="00F61F45"/>
    <w:rsid w:val="00F63BAB"/>
    <w:rsid w:val="00F644D6"/>
    <w:rsid w:val="00F65358"/>
    <w:rsid w:val="00F65615"/>
    <w:rsid w:val="00F704F7"/>
    <w:rsid w:val="00F70D51"/>
    <w:rsid w:val="00F71564"/>
    <w:rsid w:val="00F724CC"/>
    <w:rsid w:val="00F72516"/>
    <w:rsid w:val="00F74CB6"/>
    <w:rsid w:val="00F80093"/>
    <w:rsid w:val="00F81281"/>
    <w:rsid w:val="00F81DFA"/>
    <w:rsid w:val="00F846C7"/>
    <w:rsid w:val="00F852B8"/>
    <w:rsid w:val="00F87EE5"/>
    <w:rsid w:val="00F90BEF"/>
    <w:rsid w:val="00F92657"/>
    <w:rsid w:val="00F9326D"/>
    <w:rsid w:val="00F93DD5"/>
    <w:rsid w:val="00F95B46"/>
    <w:rsid w:val="00F96F9B"/>
    <w:rsid w:val="00FA02F0"/>
    <w:rsid w:val="00FA05E0"/>
    <w:rsid w:val="00FA2264"/>
    <w:rsid w:val="00FA3C16"/>
    <w:rsid w:val="00FA5E17"/>
    <w:rsid w:val="00FA62B7"/>
    <w:rsid w:val="00FA6348"/>
    <w:rsid w:val="00FA69F9"/>
    <w:rsid w:val="00FA6F2E"/>
    <w:rsid w:val="00FA71D5"/>
    <w:rsid w:val="00FA79DB"/>
    <w:rsid w:val="00FB11D1"/>
    <w:rsid w:val="00FB13EE"/>
    <w:rsid w:val="00FB2832"/>
    <w:rsid w:val="00FB4200"/>
    <w:rsid w:val="00FB5BE5"/>
    <w:rsid w:val="00FB79F3"/>
    <w:rsid w:val="00FC0B50"/>
    <w:rsid w:val="00FC183C"/>
    <w:rsid w:val="00FC1CA2"/>
    <w:rsid w:val="00FC32FD"/>
    <w:rsid w:val="00FC3F6A"/>
    <w:rsid w:val="00FC4965"/>
    <w:rsid w:val="00FC5B51"/>
    <w:rsid w:val="00FC66B9"/>
    <w:rsid w:val="00FC71A4"/>
    <w:rsid w:val="00FD174C"/>
    <w:rsid w:val="00FD1DF0"/>
    <w:rsid w:val="00FD272C"/>
    <w:rsid w:val="00FD3CB1"/>
    <w:rsid w:val="00FD4FC8"/>
    <w:rsid w:val="00FD50DC"/>
    <w:rsid w:val="00FD5B69"/>
    <w:rsid w:val="00FD6314"/>
    <w:rsid w:val="00FD7972"/>
    <w:rsid w:val="00FE0BE8"/>
    <w:rsid w:val="00FE2EE6"/>
    <w:rsid w:val="00FE5A4C"/>
    <w:rsid w:val="00FF1301"/>
    <w:rsid w:val="00FF165D"/>
    <w:rsid w:val="00FF1853"/>
    <w:rsid w:val="00FF3A62"/>
    <w:rsid w:val="00FF4A28"/>
    <w:rsid w:val="00FF4BB2"/>
    <w:rsid w:val="00FF6D03"/>
    <w:rsid w:val="07FE516D"/>
    <w:rsid w:val="12E25F66"/>
    <w:rsid w:val="219E0D3F"/>
    <w:rsid w:val="21FC14BD"/>
    <w:rsid w:val="3F96339B"/>
    <w:rsid w:val="48203B1D"/>
    <w:rsid w:val="5262622F"/>
    <w:rsid w:val="5A0D31F6"/>
    <w:rsid w:val="5A521090"/>
    <w:rsid w:val="602C0F50"/>
    <w:rsid w:val="743F6F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4626D"/>
  <w15:docId w15:val="{CDF4BA9C-FEC7-4704-BDD1-C65EED6F0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unhideWhenUsed="1" w:qFormat="1"/>
    <w:lsdException w:name="footnote text" w:uiPriority="0"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a0"/>
    <w:qFormat/>
    <w:pPr>
      <w:widowControl w:val="0"/>
      <w:ind w:firstLineChars="200" w:firstLine="200"/>
      <w:jc w:val="both"/>
    </w:pPr>
    <w:rPr>
      <w:kern w:val="2"/>
      <w:sz w:val="21"/>
      <w:szCs w:val="22"/>
    </w:rPr>
  </w:style>
  <w:style w:type="paragraph" w:styleId="1">
    <w:name w:val="heading 1"/>
    <w:basedOn w:val="a"/>
    <w:next w:val="a"/>
    <w:link w:val="10"/>
    <w:uiPriority w:val="9"/>
    <w:qFormat/>
    <w:pPr>
      <w:keepNext/>
      <w:keepLines/>
      <w:spacing w:beforeLines="50" w:before="50"/>
      <w:ind w:firstLineChars="0" w:firstLine="0"/>
      <w:jc w:val="center"/>
      <w:outlineLvl w:val="0"/>
    </w:pPr>
    <w:rPr>
      <w:rFonts w:eastAsia="黑体"/>
      <w:b/>
      <w:bCs/>
      <w:kern w:val="44"/>
      <w:sz w:val="44"/>
      <w:szCs w:val="44"/>
    </w:rPr>
  </w:style>
  <w:style w:type="paragraph" w:styleId="2">
    <w:name w:val="heading 2"/>
    <w:basedOn w:val="a"/>
    <w:next w:val="a"/>
    <w:link w:val="20"/>
    <w:uiPriority w:val="9"/>
    <w:unhideWhenUsed/>
    <w:qFormat/>
    <w:pPr>
      <w:keepNext/>
      <w:keepLines/>
      <w:spacing w:beforeLines="50" w:before="50" w:afterLines="50" w:after="50"/>
      <w:ind w:firstLineChars="0" w:firstLine="0"/>
      <w:outlineLvl w:val="1"/>
    </w:pPr>
    <w:rPr>
      <w:rFonts w:eastAsia="黑体"/>
      <w:bCs/>
      <w:sz w:val="24"/>
      <w:szCs w:val="32"/>
    </w:rPr>
  </w:style>
  <w:style w:type="paragraph" w:styleId="3">
    <w:name w:val="heading 3"/>
    <w:basedOn w:val="a"/>
    <w:next w:val="a"/>
    <w:link w:val="30"/>
    <w:uiPriority w:val="9"/>
    <w:unhideWhenUsed/>
    <w:qFormat/>
    <w:pPr>
      <w:keepNext/>
      <w:keepLines/>
      <w:spacing w:before="260" w:after="260" w:line="416" w:lineRule="atLeast"/>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next w:val="a"/>
    <w:unhideWhenUsed/>
    <w:qFormat/>
    <w:pPr>
      <w:ind w:firstLine="420"/>
      <w:jc w:val="left"/>
    </w:pPr>
    <w:rPr>
      <w:rFonts w:ascii="Calibri" w:hAnsi="Calibri"/>
      <w:szCs w:val="24"/>
    </w:rPr>
  </w:style>
  <w:style w:type="paragraph" w:styleId="a4">
    <w:name w:val="caption"/>
    <w:basedOn w:val="a"/>
    <w:next w:val="a"/>
    <w:uiPriority w:val="35"/>
    <w:unhideWhenUsed/>
    <w:rPr>
      <w:rFonts w:ascii="Calibri Light" w:eastAsia="黑体" w:hAnsi="Calibri Light"/>
      <w:szCs w:val="20"/>
    </w:rPr>
  </w:style>
  <w:style w:type="paragraph" w:styleId="a5">
    <w:name w:val="annotation text"/>
    <w:basedOn w:val="a"/>
    <w:link w:val="a6"/>
    <w:uiPriority w:val="99"/>
    <w:unhideWhenUsed/>
    <w:qFormat/>
    <w:pPr>
      <w:jc w:val="left"/>
    </w:pPr>
  </w:style>
  <w:style w:type="paragraph" w:styleId="a7">
    <w:name w:val="Body Text"/>
    <w:basedOn w:val="a"/>
    <w:uiPriority w:val="99"/>
    <w:unhideWhenUsed/>
    <w:qFormat/>
    <w:pPr>
      <w:spacing w:after="120"/>
    </w:pPr>
  </w:style>
  <w:style w:type="paragraph" w:styleId="a8">
    <w:name w:val="endnote text"/>
    <w:basedOn w:val="a"/>
    <w:link w:val="a9"/>
    <w:uiPriority w:val="99"/>
    <w:unhideWhenUsed/>
    <w:qFormat/>
    <w:pPr>
      <w:snapToGrid w:val="0"/>
      <w:jc w:val="left"/>
    </w:pPr>
  </w:style>
  <w:style w:type="paragraph" w:styleId="aa">
    <w:name w:val="Balloon Text"/>
    <w:basedOn w:val="a"/>
    <w:link w:val="ab"/>
    <w:uiPriority w:val="99"/>
    <w:unhideWhenUsed/>
    <w:qFormat/>
    <w:rPr>
      <w:sz w:val="18"/>
      <w:szCs w:val="18"/>
    </w:rPr>
  </w:style>
  <w:style w:type="paragraph" w:styleId="ac">
    <w:name w:val="footer"/>
    <w:basedOn w:val="a"/>
    <w:link w:val="ad"/>
    <w:uiPriority w:val="99"/>
    <w:unhideWhenUsed/>
    <w:qFormat/>
    <w:pPr>
      <w:tabs>
        <w:tab w:val="center" w:pos="4153"/>
        <w:tab w:val="right" w:pos="8306"/>
      </w:tabs>
      <w:snapToGrid w:val="0"/>
      <w:spacing w:line="240" w:lineRule="atLeast"/>
      <w:jc w:val="left"/>
    </w:pPr>
    <w:rPr>
      <w:sz w:val="18"/>
      <w:szCs w:val="18"/>
    </w:rPr>
  </w:style>
  <w:style w:type="paragraph" w:styleId="ae">
    <w:name w:val="header"/>
    <w:basedOn w:val="a"/>
    <w:link w:val="af"/>
    <w:uiPriority w:val="99"/>
    <w:unhideWhenUsed/>
    <w:qFormat/>
    <w:pPr>
      <w:pBdr>
        <w:bottom w:val="single" w:sz="6" w:space="1" w:color="auto"/>
      </w:pBdr>
      <w:tabs>
        <w:tab w:val="center" w:pos="4153"/>
        <w:tab w:val="right" w:pos="8306"/>
      </w:tabs>
      <w:snapToGrid w:val="0"/>
      <w:spacing w:line="240" w:lineRule="atLeast"/>
      <w:jc w:val="center"/>
    </w:pPr>
    <w:rPr>
      <w:sz w:val="18"/>
      <w:szCs w:val="18"/>
    </w:rPr>
  </w:style>
  <w:style w:type="paragraph" w:styleId="af0">
    <w:name w:val="Subtitle"/>
    <w:basedOn w:val="a"/>
    <w:next w:val="a"/>
    <w:link w:val="af1"/>
    <w:uiPriority w:val="11"/>
    <w:qFormat/>
    <w:pPr>
      <w:spacing w:line="320" w:lineRule="exact"/>
      <w:ind w:firstLineChars="0" w:firstLine="0"/>
      <w:outlineLvl w:val="1"/>
    </w:pPr>
    <w:rPr>
      <w:rFonts w:eastAsia="黑体"/>
      <w:b/>
      <w:bCs/>
      <w:kern w:val="28"/>
      <w:szCs w:val="32"/>
    </w:rPr>
  </w:style>
  <w:style w:type="paragraph" w:styleId="af2">
    <w:name w:val="footnote text"/>
    <w:basedOn w:val="a"/>
    <w:link w:val="af3"/>
    <w:unhideWhenUsed/>
    <w:qFormat/>
    <w:pPr>
      <w:snapToGrid w:val="0"/>
      <w:jc w:val="left"/>
    </w:pPr>
    <w:rPr>
      <w:sz w:val="18"/>
      <w:szCs w:val="18"/>
    </w:rPr>
  </w:style>
  <w:style w:type="paragraph" w:styleId="af4">
    <w:name w:val="Normal (Web)"/>
    <w:basedOn w:val="a"/>
    <w:uiPriority w:val="99"/>
    <w:unhideWhenUsed/>
    <w:qFormat/>
    <w:pPr>
      <w:widowControl/>
      <w:spacing w:before="100" w:beforeAutospacing="1" w:after="100" w:afterAutospacing="1"/>
      <w:ind w:firstLineChars="0" w:firstLine="0"/>
      <w:jc w:val="left"/>
    </w:pPr>
    <w:rPr>
      <w:rFonts w:ascii="宋体" w:hAnsi="宋体" w:cs="宋体"/>
      <w:kern w:val="0"/>
      <w:sz w:val="24"/>
      <w:szCs w:val="24"/>
    </w:rPr>
  </w:style>
  <w:style w:type="paragraph" w:styleId="af5">
    <w:name w:val="Title"/>
    <w:basedOn w:val="a"/>
    <w:next w:val="a"/>
    <w:link w:val="af6"/>
    <w:uiPriority w:val="10"/>
    <w:qFormat/>
    <w:pPr>
      <w:spacing w:beforeLines="50" w:before="50" w:afterLines="50" w:after="50"/>
      <w:ind w:firstLineChars="0" w:firstLine="0"/>
      <w:outlineLvl w:val="1"/>
    </w:pPr>
    <w:rPr>
      <w:b/>
      <w:bCs/>
    </w:rPr>
  </w:style>
  <w:style w:type="paragraph" w:styleId="af7">
    <w:name w:val="annotation subject"/>
    <w:basedOn w:val="a5"/>
    <w:next w:val="a5"/>
    <w:link w:val="af8"/>
    <w:uiPriority w:val="99"/>
    <w:unhideWhenUsed/>
    <w:qFormat/>
    <w:rPr>
      <w:b/>
      <w:bCs/>
    </w:rPr>
  </w:style>
  <w:style w:type="table" w:styleId="af9">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uiPriority w:val="22"/>
    <w:qFormat/>
    <w:rPr>
      <w:b/>
      <w:bCs/>
    </w:rPr>
  </w:style>
  <w:style w:type="character" w:styleId="afb">
    <w:name w:val="endnote reference"/>
    <w:uiPriority w:val="99"/>
    <w:unhideWhenUsed/>
    <w:qFormat/>
    <w:rPr>
      <w:vertAlign w:val="superscript"/>
    </w:rPr>
  </w:style>
  <w:style w:type="character" w:styleId="afc">
    <w:name w:val="Hyperlink"/>
    <w:uiPriority w:val="99"/>
    <w:unhideWhenUsed/>
    <w:qFormat/>
    <w:rPr>
      <w:color w:val="0563C1"/>
      <w:u w:val="single"/>
    </w:rPr>
  </w:style>
  <w:style w:type="character" w:styleId="afd">
    <w:name w:val="annotation reference"/>
    <w:uiPriority w:val="99"/>
    <w:unhideWhenUsed/>
    <w:qFormat/>
    <w:rPr>
      <w:sz w:val="21"/>
      <w:szCs w:val="21"/>
    </w:rPr>
  </w:style>
  <w:style w:type="character" w:styleId="afe">
    <w:name w:val="footnote reference"/>
    <w:unhideWhenUsed/>
    <w:qFormat/>
    <w:rPr>
      <w:vertAlign w:val="superscript"/>
    </w:rPr>
  </w:style>
  <w:style w:type="character" w:customStyle="1" w:styleId="30">
    <w:name w:val="标题 3 字符"/>
    <w:link w:val="3"/>
    <w:uiPriority w:val="9"/>
    <w:qFormat/>
    <w:rPr>
      <w:rFonts w:ascii="Times New Roman" w:hAnsi="Times New Roman"/>
      <w:b/>
      <w:bCs/>
      <w:sz w:val="32"/>
      <w:szCs w:val="32"/>
    </w:rPr>
  </w:style>
  <w:style w:type="character" w:customStyle="1" w:styleId="10">
    <w:name w:val="标题 1 字符"/>
    <w:link w:val="1"/>
    <w:uiPriority w:val="9"/>
    <w:qFormat/>
    <w:rPr>
      <w:rFonts w:ascii="Times New Roman" w:eastAsia="黑体" w:hAnsi="Times New Roman"/>
      <w:b/>
      <w:bCs/>
      <w:kern w:val="44"/>
      <w:sz w:val="44"/>
      <w:szCs w:val="44"/>
    </w:rPr>
  </w:style>
  <w:style w:type="character" w:customStyle="1" w:styleId="20">
    <w:name w:val="标题 2 字符"/>
    <w:link w:val="2"/>
    <w:uiPriority w:val="9"/>
    <w:qFormat/>
    <w:rPr>
      <w:rFonts w:ascii="Times New Roman" w:eastAsia="黑体" w:hAnsi="Times New Roman"/>
      <w:bCs/>
      <w:kern w:val="2"/>
      <w:sz w:val="24"/>
      <w:szCs w:val="32"/>
    </w:rPr>
  </w:style>
  <w:style w:type="character" w:customStyle="1" w:styleId="a6">
    <w:name w:val="批注文字 字符"/>
    <w:link w:val="a5"/>
    <w:uiPriority w:val="99"/>
    <w:qFormat/>
    <w:rPr>
      <w:rFonts w:ascii="Times New Roman" w:hAnsi="Times New Roman"/>
    </w:rPr>
  </w:style>
  <w:style w:type="character" w:customStyle="1" w:styleId="a9">
    <w:name w:val="尾注文本 字符"/>
    <w:link w:val="a8"/>
    <w:uiPriority w:val="99"/>
    <w:qFormat/>
    <w:rPr>
      <w:rFonts w:ascii="Times New Roman" w:hAnsi="Times New Roman"/>
    </w:rPr>
  </w:style>
  <w:style w:type="character" w:customStyle="1" w:styleId="ab">
    <w:name w:val="批注框文本 字符"/>
    <w:link w:val="aa"/>
    <w:uiPriority w:val="99"/>
    <w:semiHidden/>
    <w:qFormat/>
    <w:rPr>
      <w:rFonts w:ascii="Times New Roman" w:hAnsi="Times New Roman"/>
      <w:sz w:val="18"/>
      <w:szCs w:val="18"/>
    </w:rPr>
  </w:style>
  <w:style w:type="character" w:customStyle="1" w:styleId="ad">
    <w:name w:val="页脚 字符"/>
    <w:link w:val="ac"/>
    <w:uiPriority w:val="99"/>
    <w:qFormat/>
    <w:rPr>
      <w:rFonts w:ascii="Times New Roman" w:hAnsi="Times New Roman"/>
      <w:sz w:val="18"/>
      <w:szCs w:val="18"/>
    </w:rPr>
  </w:style>
  <w:style w:type="character" w:customStyle="1" w:styleId="af">
    <w:name w:val="页眉 字符"/>
    <w:link w:val="ae"/>
    <w:uiPriority w:val="99"/>
    <w:qFormat/>
    <w:rPr>
      <w:rFonts w:ascii="Times New Roman" w:hAnsi="Times New Roman"/>
      <w:sz w:val="18"/>
      <w:szCs w:val="18"/>
    </w:rPr>
  </w:style>
  <w:style w:type="character" w:customStyle="1" w:styleId="af1">
    <w:name w:val="副标题 字符"/>
    <w:link w:val="af0"/>
    <w:uiPriority w:val="11"/>
    <w:qFormat/>
    <w:rPr>
      <w:rFonts w:ascii="Times New Roman" w:eastAsia="黑体" w:hAnsi="Times New Roman" w:cs="Times New Roman"/>
      <w:b/>
      <w:bCs/>
      <w:kern w:val="28"/>
      <w:szCs w:val="32"/>
    </w:rPr>
  </w:style>
  <w:style w:type="character" w:customStyle="1" w:styleId="af3">
    <w:name w:val="脚注文本 字符"/>
    <w:link w:val="af2"/>
    <w:uiPriority w:val="99"/>
    <w:semiHidden/>
    <w:qFormat/>
    <w:rPr>
      <w:rFonts w:ascii="Times New Roman" w:hAnsi="Times New Roman"/>
      <w:sz w:val="18"/>
      <w:szCs w:val="18"/>
    </w:rPr>
  </w:style>
  <w:style w:type="character" w:customStyle="1" w:styleId="af6">
    <w:name w:val="标题 字符"/>
    <w:link w:val="af5"/>
    <w:uiPriority w:val="10"/>
    <w:qFormat/>
    <w:rPr>
      <w:rFonts w:ascii="Times New Roman" w:eastAsia="宋体" w:hAnsi="Times New Roman"/>
      <w:b/>
      <w:bCs/>
      <w:kern w:val="2"/>
      <w:sz w:val="21"/>
      <w:szCs w:val="22"/>
    </w:rPr>
  </w:style>
  <w:style w:type="character" w:customStyle="1" w:styleId="af8">
    <w:name w:val="批注主题 字符"/>
    <w:link w:val="af7"/>
    <w:uiPriority w:val="99"/>
    <w:semiHidden/>
    <w:qFormat/>
    <w:rPr>
      <w:rFonts w:ascii="Times New Roman" w:hAnsi="Times New Roman"/>
      <w:b/>
      <w:bCs/>
    </w:rPr>
  </w:style>
  <w:style w:type="paragraph" w:styleId="aff">
    <w:name w:val="No Spacing"/>
    <w:uiPriority w:val="1"/>
    <w:qFormat/>
    <w:pPr>
      <w:widowControl w:val="0"/>
      <w:spacing w:line="240" w:lineRule="exact"/>
      <w:jc w:val="center"/>
    </w:pPr>
    <w:rPr>
      <w:kern w:val="2"/>
      <w:sz w:val="18"/>
      <w:szCs w:val="22"/>
    </w:rPr>
  </w:style>
  <w:style w:type="paragraph" w:customStyle="1" w:styleId="aff0">
    <w:name w:val="摘要"/>
    <w:basedOn w:val="a"/>
    <w:link w:val="Char"/>
    <w:qFormat/>
    <w:pPr>
      <w:ind w:firstLineChars="0" w:firstLine="0"/>
    </w:pPr>
    <w:rPr>
      <w:sz w:val="18"/>
    </w:rPr>
  </w:style>
  <w:style w:type="character" w:customStyle="1" w:styleId="Char">
    <w:name w:val="摘要 Char"/>
    <w:link w:val="aff0"/>
    <w:qFormat/>
    <w:rPr>
      <w:rFonts w:ascii="Times New Roman" w:hAnsi="Times New Roman"/>
      <w:sz w:val="18"/>
    </w:rPr>
  </w:style>
  <w:style w:type="paragraph" w:customStyle="1" w:styleId="aff1">
    <w:name w:val="图片"/>
    <w:basedOn w:val="a"/>
    <w:next w:val="a"/>
    <w:link w:val="Char0"/>
    <w:qFormat/>
    <w:pPr>
      <w:spacing w:before="100"/>
      <w:ind w:firstLineChars="0" w:firstLine="0"/>
      <w:jc w:val="center"/>
    </w:pPr>
  </w:style>
  <w:style w:type="character" w:customStyle="1" w:styleId="Char0">
    <w:name w:val="图片 Char"/>
    <w:link w:val="aff1"/>
    <w:qFormat/>
    <w:rPr>
      <w:rFonts w:ascii="Times New Roman" w:hAnsi="Times New Roman"/>
    </w:rPr>
  </w:style>
  <w:style w:type="paragraph" w:customStyle="1" w:styleId="aff2">
    <w:name w:val="文献"/>
    <w:basedOn w:val="a"/>
    <w:link w:val="Char1"/>
    <w:qFormat/>
    <w:pPr>
      <w:ind w:firstLineChars="0" w:firstLine="0"/>
    </w:pPr>
    <w:rPr>
      <w:sz w:val="16"/>
    </w:rPr>
  </w:style>
  <w:style w:type="character" w:customStyle="1" w:styleId="Char1">
    <w:name w:val="文献 Char"/>
    <w:link w:val="aff2"/>
    <w:qFormat/>
    <w:rPr>
      <w:rFonts w:ascii="Times New Roman" w:eastAsia="宋体" w:hAnsi="Times New Roman"/>
      <w:sz w:val="16"/>
    </w:rPr>
  </w:style>
  <w:style w:type="paragraph" w:styleId="aff3">
    <w:name w:val="List Paragraph"/>
    <w:basedOn w:val="a"/>
    <w:link w:val="aff4"/>
    <w:uiPriority w:val="34"/>
    <w:qFormat/>
    <w:pPr>
      <w:ind w:firstLine="420"/>
    </w:pPr>
  </w:style>
  <w:style w:type="character" w:customStyle="1" w:styleId="aff4">
    <w:name w:val="列出段落 字符"/>
    <w:link w:val="aff3"/>
    <w:uiPriority w:val="34"/>
    <w:qFormat/>
    <w:rPr>
      <w:rFonts w:ascii="Times New Roman" w:hAnsi="Times New Roman"/>
    </w:rPr>
  </w:style>
  <w:style w:type="paragraph" w:customStyle="1" w:styleId="reference">
    <w:name w:val="reference"/>
    <w:basedOn w:val="aff3"/>
    <w:link w:val="reference0"/>
    <w:qFormat/>
    <w:pPr>
      <w:numPr>
        <w:numId w:val="1"/>
      </w:numPr>
      <w:ind w:left="0" w:firstLineChars="0" w:firstLine="0"/>
    </w:pPr>
  </w:style>
  <w:style w:type="character" w:customStyle="1" w:styleId="reference0">
    <w:name w:val="reference 字符"/>
    <w:link w:val="reference"/>
    <w:qFormat/>
    <w:rPr>
      <w:rFonts w:ascii="Times New Roman" w:hAnsi="Times New Roman"/>
    </w:rPr>
  </w:style>
  <w:style w:type="paragraph" w:customStyle="1" w:styleId="aff5">
    <w:name w:val="公式"/>
    <w:basedOn w:val="a"/>
    <w:next w:val="a"/>
    <w:link w:val="aff6"/>
    <w:qFormat/>
    <w:pPr>
      <w:tabs>
        <w:tab w:val="center" w:pos="2310"/>
        <w:tab w:val="right" w:pos="4620"/>
      </w:tabs>
      <w:ind w:firstLineChars="0" w:firstLine="0"/>
      <w:textAlignment w:val="center"/>
    </w:pPr>
  </w:style>
  <w:style w:type="character" w:customStyle="1" w:styleId="aff6">
    <w:name w:val="公式 字符"/>
    <w:link w:val="aff5"/>
    <w:qFormat/>
    <w:rPr>
      <w:rFonts w:ascii="Times New Roman" w:hAnsi="Times New Roman"/>
      <w:kern w:val="2"/>
      <w:sz w:val="21"/>
      <w:szCs w:val="22"/>
    </w:rPr>
  </w:style>
  <w:style w:type="paragraph" w:customStyle="1" w:styleId="CharCharChar">
    <w:name w:val="Char Char Char"/>
    <w:basedOn w:val="a"/>
    <w:qFormat/>
    <w:pPr>
      <w:spacing w:line="360" w:lineRule="auto"/>
    </w:pPr>
    <w:rPr>
      <w:szCs w:val="24"/>
    </w:rPr>
  </w:style>
  <w:style w:type="paragraph" w:customStyle="1" w:styleId="aff7">
    <w:name w:val="表"/>
    <w:basedOn w:val="a"/>
    <w:link w:val="Char2"/>
    <w:qFormat/>
    <w:pPr>
      <w:spacing w:before="120" w:after="60" w:line="240" w:lineRule="exact"/>
      <w:ind w:firstLineChars="0" w:firstLine="0"/>
      <w:jc w:val="center"/>
    </w:pPr>
    <w:rPr>
      <w:rFonts w:ascii="黑体" w:eastAsia="黑体" w:hAnsi="黑体"/>
      <w:sz w:val="18"/>
      <w:szCs w:val="18"/>
    </w:rPr>
  </w:style>
  <w:style w:type="character" w:customStyle="1" w:styleId="Char2">
    <w:name w:val="表 Char"/>
    <w:link w:val="aff7"/>
    <w:qFormat/>
    <w:rPr>
      <w:rFonts w:ascii="黑体" w:eastAsia="黑体" w:hAnsi="黑体"/>
      <w:sz w:val="18"/>
      <w:szCs w:val="18"/>
    </w:rPr>
  </w:style>
  <w:style w:type="character" w:styleId="aff8">
    <w:name w:val="Placeholder Text"/>
    <w:uiPriority w:val="99"/>
    <w:semiHidden/>
    <w:qFormat/>
    <w:rPr>
      <w:color w:val="808080"/>
    </w:rPr>
  </w:style>
  <w:style w:type="paragraph" w:customStyle="1" w:styleId="Style54">
    <w:name w:val="_Style 54"/>
    <w:uiPriority w:val="99"/>
    <w:semiHidden/>
    <w:qFormat/>
    <w:rPr>
      <w:kern w:val="2"/>
      <w:sz w:val="21"/>
      <w:szCs w:val="22"/>
    </w:rPr>
  </w:style>
  <w:style w:type="character" w:customStyle="1" w:styleId="Style55">
    <w:name w:val="_Style 55"/>
    <w:uiPriority w:val="99"/>
    <w:unhideWhenUsed/>
    <w:qFormat/>
    <w:rPr>
      <w:color w:val="605E5C"/>
      <w:shd w:val="clear" w:color="auto" w:fill="E1DFDD"/>
    </w:rPr>
  </w:style>
  <w:style w:type="paragraph" w:customStyle="1" w:styleId="MTDisplayEquation">
    <w:name w:val="MTDisplayEquation"/>
    <w:basedOn w:val="a"/>
    <w:next w:val="a"/>
    <w:link w:val="MTDisplayEquation0"/>
    <w:qFormat/>
    <w:pPr>
      <w:tabs>
        <w:tab w:val="center" w:pos="2320"/>
        <w:tab w:val="right" w:pos="4640"/>
      </w:tabs>
      <w:ind w:firstLineChars="0" w:firstLine="0"/>
    </w:pPr>
  </w:style>
  <w:style w:type="character" w:customStyle="1" w:styleId="MTDisplayEquation0">
    <w:name w:val="MTDisplayEquation 字符"/>
    <w:basedOn w:val="a1"/>
    <w:link w:val="MTDisplayEquatio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1.emf"/><Relationship Id="rId18" Type="http://schemas.openxmlformats.org/officeDocument/2006/relationships/package" Target="embeddings/Microsoft_Visio___2.vsdx"/><Relationship Id="rId26" Type="http://schemas.openxmlformats.org/officeDocument/2006/relationships/oleObject" Target="embeddings/oleObject4.bin"/><Relationship Id="rId39" Type="http://schemas.openxmlformats.org/officeDocument/2006/relationships/image" Target="media/image14.wmf"/><Relationship Id="rId21" Type="http://schemas.openxmlformats.org/officeDocument/2006/relationships/image" Target="media/image5.wmf"/><Relationship Id="rId34" Type="http://schemas.openxmlformats.org/officeDocument/2006/relationships/oleObject" Target="embeddings/oleObject8.bin"/><Relationship Id="rId42" Type="http://schemas.openxmlformats.org/officeDocument/2006/relationships/oleObject" Target="embeddings/oleObject12.bin"/><Relationship Id="rId47" Type="http://schemas.openxmlformats.org/officeDocument/2006/relationships/image" Target="media/image18.wmf"/><Relationship Id="rId50" Type="http://schemas.openxmlformats.org/officeDocument/2006/relationships/oleObject" Target="embeddings/oleObject15.bin"/><Relationship Id="rId55"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package" Target="embeddings/Microsoft_Visio___1.vsdx"/><Relationship Id="rId29" Type="http://schemas.openxmlformats.org/officeDocument/2006/relationships/image" Target="media/image9.wmf"/><Relationship Id="rId11" Type="http://schemas.openxmlformats.org/officeDocument/2006/relationships/header" Target="header3.xml"/><Relationship Id="rId24" Type="http://schemas.openxmlformats.org/officeDocument/2006/relationships/oleObject" Target="embeddings/oleObject3.bin"/><Relationship Id="rId32" Type="http://schemas.openxmlformats.org/officeDocument/2006/relationships/oleObject" Target="embeddings/oleObject7.bin"/><Relationship Id="rId37" Type="http://schemas.openxmlformats.org/officeDocument/2006/relationships/image" Target="media/image13.wmf"/><Relationship Id="rId40" Type="http://schemas.openxmlformats.org/officeDocument/2006/relationships/oleObject" Target="embeddings/oleObject11.bin"/><Relationship Id="rId45" Type="http://schemas.openxmlformats.org/officeDocument/2006/relationships/image" Target="media/image17.emf"/><Relationship Id="rId53" Type="http://schemas.openxmlformats.org/officeDocument/2006/relationships/image" Target="media/image21.wmf"/><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image" Target="media/image4.wmf"/><Relationship Id="rId31" Type="http://schemas.openxmlformats.org/officeDocument/2006/relationships/image" Target="media/image10.wmf"/><Relationship Id="rId44" Type="http://schemas.openxmlformats.org/officeDocument/2006/relationships/oleObject" Target="embeddings/oleObject13.bin"/><Relationship Id="rId52" Type="http://schemas.openxmlformats.org/officeDocument/2006/relationships/oleObject" Target="embeddings/oleObject16.bin"/><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package" Target="embeddings/Microsoft_Visio___.vsdx"/><Relationship Id="rId22" Type="http://schemas.openxmlformats.org/officeDocument/2006/relationships/oleObject" Target="embeddings/oleObject2.bin"/><Relationship Id="rId27" Type="http://schemas.openxmlformats.org/officeDocument/2006/relationships/image" Target="media/image8.wmf"/><Relationship Id="rId30" Type="http://schemas.openxmlformats.org/officeDocument/2006/relationships/oleObject" Target="embeddings/oleObject6.bin"/><Relationship Id="rId35" Type="http://schemas.openxmlformats.org/officeDocument/2006/relationships/image" Target="media/image12.wmf"/><Relationship Id="rId43" Type="http://schemas.openxmlformats.org/officeDocument/2006/relationships/image" Target="media/image16.wmf"/><Relationship Id="rId48" Type="http://schemas.openxmlformats.org/officeDocument/2006/relationships/oleObject" Target="embeddings/oleObject14.bin"/><Relationship Id="rId56"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image" Target="media/image20.wmf"/><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image" Target="media/image7.wmf"/><Relationship Id="rId33" Type="http://schemas.openxmlformats.org/officeDocument/2006/relationships/image" Target="media/image11.wmf"/><Relationship Id="rId38" Type="http://schemas.openxmlformats.org/officeDocument/2006/relationships/oleObject" Target="embeddings/oleObject10.bin"/><Relationship Id="rId46" Type="http://schemas.openxmlformats.org/officeDocument/2006/relationships/package" Target="embeddings/Microsoft_Visio___3.vsdx"/><Relationship Id="rId20" Type="http://schemas.openxmlformats.org/officeDocument/2006/relationships/oleObject" Target="embeddings/oleObject1.bin"/><Relationship Id="rId41" Type="http://schemas.openxmlformats.org/officeDocument/2006/relationships/image" Target="media/image15.wmf"/><Relationship Id="rId54" Type="http://schemas.openxmlformats.org/officeDocument/2006/relationships/oleObject" Target="embeddings/oleObject17.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emf"/><Relationship Id="rId23" Type="http://schemas.openxmlformats.org/officeDocument/2006/relationships/image" Target="media/image6.wmf"/><Relationship Id="rId28" Type="http://schemas.openxmlformats.org/officeDocument/2006/relationships/oleObject" Target="embeddings/oleObject5.bin"/><Relationship Id="rId36" Type="http://schemas.openxmlformats.org/officeDocument/2006/relationships/oleObject" Target="embeddings/oleObject9.bin"/><Relationship Id="rId49" Type="http://schemas.openxmlformats.org/officeDocument/2006/relationships/image" Target="media/image19.w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316</TotalTime>
  <Pages>6</Pages>
  <Words>1646</Words>
  <Characters>9384</Characters>
  <Application>Microsoft Office Word</Application>
  <DocSecurity>0</DocSecurity>
  <Lines>78</Lines>
  <Paragraphs>22</Paragraphs>
  <ScaleCrop>false</ScaleCrop>
  <Company>Sky123.Org</Company>
  <LinksUpToDate>false</LinksUpToDate>
  <CharactersWithSpaces>11008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paper-format-skill</dc:creator>
  <cp:lastModifiedBy>paper-format-skill</cp:lastModifiedBy>
  <cp:revision>30</cp:revision>
  <dcterms:created xsi:type="dcterms:W3CDTF">2023-08-08T03:21:00Z</dcterms:created>
  <dcterms:modified xsi:type="dcterms:W3CDTF">2026-07-09T01:43:00Z</dcterms:modified>
  <dc:title>模板内容仅供格式参考</dc:title>
  <dc:subject>模板内容仅供格式参考</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2052-12.1.0.26375</vt:lpwstr>
  </property>
  <property fmtid="{D5CDD505-2E9C-101B-9397-08002B2CF9AE}" pid="4" name="ICV">
    <vt:lpwstr>11C1C84D95BC406A9C6BA76E5FB4364D_13</vt:lpwstr>
  </property>
  <property fmtid="{D5CDD505-2E9C-101B-9397-08002B2CF9AE}" pid="5" name="KSOTemplateDocerSaveRecord">
    <vt:lpwstr>eyJoZGlkIjoiMjE3ODJkMGEwNmJhMDYxODdkYzIxMmY5NmZmY2VkN2EiLCJ1c2VySWQiOiI1MDM2NDgzMzQifQ==</vt:lpwstr>
  </property>
</Properties>
</file>