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动态灾害应急决策与资源调度</w:t>
      </w:r>
    </w:p>
    <w:p>
      <w:r>
        <w:t>康定案例背景下的研究原型｜实现与实测结果｜2026-09-06</w:t>
      </w:r>
    </w:p>
    <w:p>
      <w:pPr>
        <w:pStyle w:val="Heading1"/>
      </w:pPr>
      <w:r>
        <w:t>问题与完成内容</w:t>
      </w:r>
    </w:p>
    <w:p>
      <w:r>
        <w:t>给定持续变化的灾情、道路、有限救援队伍和应急预案，研究如何形成可追溯的候选任务并保持动态调度与实际执行状态一致。</w:t>
      </w:r>
    </w:p>
    <w:p>
      <w:r>
        <w:t>本次交付包含本地单页系统、离线命令行、两份预案的20条核对节选、4条真实通报事实、10节点8队伍12任务的模拟场景、三方法63次实验以及自动化测试。</w:t>
      </w:r>
    </w:p>
    <w:p>
      <w:r>
        <w:t>真实材料说明案例背景，模拟材料验证程序行为。队伍、路网、任务和分钟不是对康定救援过程的重建。</w:t>
      </w:r>
    </w:p>
    <w:p>
      <w:pPr>
        <w:pStyle w:val="Heading1"/>
      </w:pPr>
      <w:r>
        <w:t>数据与依据</w:t>
      </w:r>
    </w:p>
    <w:p>
      <w:r>
        <w:t>公开通报采用新华社2024年8月4日21:39:21报道，并列出康定市政府专栏通报作交叉来源。每项事实记录事件时间、发布时间、来源链接及原文定位；不能把后续发布的信息提前用于历史态势。</w:t>
      </w:r>
    </w:p>
    <w:p>
      <w:r>
        <w:t>预案采用国办函〔2024〕11号和四川2024年度地质灾害预案。8月15日实施的四川新救助预案被排除。国家一级响应条款仅用于特定范围的知识解释，不构成康定实际响应级别判定。</w:t>
      </w:r>
    </w:p>
    <w:p>
      <w:r>
        <w:t>部分官方站点直接下载遇到TLS错误。国家条款已对照网页正文，四川条款对照官方PDF搜索索引；本地保存核对节选与明确核验状态，尚未完成整份四川PDF复核。</w:t>
      </w:r>
    </w:p>
    <w:p>
      <w:pPr>
        <w:pStyle w:val="Heading1"/>
      </w:pPr>
      <w:r>
        <w:t>系统方法与数学模型</w:t>
      </w:r>
    </w:p>
    <w:p>
      <w:r>
        <w:t>文本经结构化提取后进入候选区，字符2—4 gram TF-IDF结合固定任务模板词检索前五条预案。人工核对地点、能力、需求数量、时限与引用后提交事件。</w:t>
      </w:r>
    </w:p>
    <w:p>
      <w:r>
        <w:t>设x(i,j)为队伍i是否派往任务j。仅保留能力匹配、资源当前可用、路网可达的组合；约束每队伍至多一个任务、每任务分配量不超过未完成且未承诺的需求。</w:t>
      </w:r>
    </w:p>
    <w:p>
      <w:r>
        <w:t>词典序最小化紧急缺口、普通缺口、预计迟到、行程时间。使用CP-SAT分级求解，共享5秒预算，只有当前级证明最优才进入下一级。超时保留可行解或明确降级为贪心。</w:t>
      </w:r>
    </w:p>
    <w:p>
      <w:r>
        <w:t>执行器以1分钟推进，记录逐边行进、到达、作业和释放；每5分钟或新事件后重规划。在途方案遇阻时按最近到达节点的离散抽象绕行，不可达则释放承诺。既有作业不被重新分配。</w:t>
      </w:r>
    </w:p>
    <w:p>
      <w:r>
        <w:t>模型不直接决定数值派遣，解释阶段只选择受限理由代码；所有队伍、任务、路线与到达数字均由程序校验与渲染。</w:t>
      </w:r>
    </w:p>
    <w:p>
      <w:pPr>
        <w:pStyle w:val="Heading1"/>
      </w:pPr>
      <w:r>
        <w:t>实验设计与测量结果</w:t>
      </w:r>
    </w:p>
    <w:p>
      <w:r>
        <w:t>标准场景与seed=0…19扰动共21组，每组分别运行最近可行队伍贪心、一次性静态优化、动态优化，共63次。方法共享相同输入和执行器，固定180分钟观察窗口。</w:t>
      </w:r>
    </w:p>
    <w:p>
      <w:r>
        <w:t>扰动改变道路行程、任务作业时长和需求数量。静态方法仅初始分配一次，不能响应新增任务及增援，是弱的无重规划对照。动态与贪心均每5分钟和事件发生时重新分配。</w:t>
      </w:r>
    </w:p>
    <w:p>
      <w:r>
        <w:t>动态优化紧急需求到达率均值100.0%，贪心100.0%，静态41.1%。动态与贪心在所有场景终点均无未满足单位。</w:t>
      </w:r>
    </w:p>
    <w:p>
      <w:r>
        <w:t>动态平均响应37.37分钟，贪心37.86分钟；动态累计迟到均值179.95分钟，贪心172.95分钟。结果没有证明动态优化全面优于贪心；后续资源释放和任务组合可能改变长期效果。</w:t>
      </w:r>
    </w:p>
    <w:p>
      <w:r>
        <w:t>静态方法平均响应较小不能解释成更好，因为只服务了初始部分任务。到达率是队伍需求满足率，不是获救人数或存活率；平均响应只计算已到达单位。</w:t>
      </w:r>
    </w:p>
    <w:p>
      <w:r>
        <w:t>离线文本20条样例的地点/能力准确率分别为100%/100%；人工条款集Recall@5为100%，引用精度为68%。这些是小型代理标注集上的离线规则/缓存结果，不代表任何真实大模型。</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紧急到达率</w:t>
            </w:r>
          </w:p>
        </w:tc>
        <w:tc>
          <w:tcPr>
            <w:tcW w:type="dxa" w:w="1728"/>
          </w:tcPr>
          <w:p>
            <w:r>
              <w:t>未满足单位</w:t>
            </w:r>
          </w:p>
        </w:tc>
        <w:tc>
          <w:tcPr>
            <w:tcW w:type="dxa" w:w="1728"/>
          </w:tcPr>
          <w:p>
            <w:r>
              <w:t>平均响应/分</w:t>
            </w:r>
          </w:p>
        </w:tc>
        <w:tc>
          <w:tcPr>
            <w:tcW w:type="dxa" w:w="1728"/>
          </w:tcPr>
          <w:p>
            <w:r>
              <w:t>累计迟到/分</w:t>
            </w:r>
          </w:p>
        </w:tc>
      </w:tr>
      <w:tr>
        <w:tc>
          <w:tcPr>
            <w:tcW w:type="dxa" w:w="1728"/>
          </w:tcPr>
          <w:p>
            <w:r>
              <w:t>dynamic</w:t>
            </w:r>
          </w:p>
        </w:tc>
        <w:tc>
          <w:tcPr>
            <w:tcW w:type="dxa" w:w="1728"/>
          </w:tcPr>
          <w:p>
            <w:r>
              <w:t>100.0%</w:t>
            </w:r>
          </w:p>
        </w:tc>
        <w:tc>
          <w:tcPr>
            <w:tcW w:type="dxa" w:w="1728"/>
          </w:tcPr>
          <w:p>
            <w:r>
              <w:t>0.00</w:t>
            </w:r>
          </w:p>
        </w:tc>
        <w:tc>
          <w:tcPr>
            <w:tcW w:type="dxa" w:w="1728"/>
          </w:tcPr>
          <w:p>
            <w:r>
              <w:t>37.37</w:t>
            </w:r>
          </w:p>
        </w:tc>
        <w:tc>
          <w:tcPr>
            <w:tcW w:type="dxa" w:w="1728"/>
          </w:tcPr>
          <w:p>
            <w:r>
              <w:t>179.95</w:t>
            </w:r>
          </w:p>
        </w:tc>
      </w:tr>
      <w:tr>
        <w:tc>
          <w:tcPr>
            <w:tcW w:type="dxa" w:w="1728"/>
          </w:tcPr>
          <w:p>
            <w:r>
              <w:t>greedy</w:t>
            </w:r>
          </w:p>
        </w:tc>
        <w:tc>
          <w:tcPr>
            <w:tcW w:type="dxa" w:w="1728"/>
          </w:tcPr>
          <w:p>
            <w:r>
              <w:t>100.0%</w:t>
            </w:r>
          </w:p>
        </w:tc>
        <w:tc>
          <w:tcPr>
            <w:tcW w:type="dxa" w:w="1728"/>
          </w:tcPr>
          <w:p>
            <w:r>
              <w:t>0.00</w:t>
            </w:r>
          </w:p>
        </w:tc>
        <w:tc>
          <w:tcPr>
            <w:tcW w:type="dxa" w:w="1728"/>
          </w:tcPr>
          <w:p>
            <w:r>
              <w:t>37.86</w:t>
            </w:r>
          </w:p>
        </w:tc>
        <w:tc>
          <w:tcPr>
            <w:tcW w:type="dxa" w:w="1728"/>
          </w:tcPr>
          <w:p>
            <w:r>
              <w:t>172.95</w:t>
            </w:r>
          </w:p>
        </w:tc>
      </w:tr>
      <w:tr>
        <w:tc>
          <w:tcPr>
            <w:tcW w:type="dxa" w:w="1728"/>
          </w:tcPr>
          <w:p>
            <w:r>
              <w:t>static</w:t>
            </w:r>
          </w:p>
        </w:tc>
        <w:tc>
          <w:tcPr>
            <w:tcW w:type="dxa" w:w="1728"/>
          </w:tcPr>
          <w:p>
            <w:r>
              <w:t>41.1%</w:t>
            </w:r>
          </w:p>
        </w:tc>
        <w:tc>
          <w:tcPr>
            <w:tcW w:type="dxa" w:w="1728"/>
          </w:tcPr>
          <w:p>
            <w:r>
              <w:t>10.05</w:t>
            </w:r>
          </w:p>
        </w:tc>
        <w:tc>
          <w:tcPr>
            <w:tcW w:type="dxa" w:w="1728"/>
          </w:tcPr>
          <w:p>
            <w:r>
              <w:t>17.88</w:t>
            </w:r>
          </w:p>
        </w:tc>
        <w:tc>
          <w:tcPr>
            <w:tcW w:type="dxa" w:w="1728"/>
          </w:tcPr>
          <w:p>
            <w:r>
              <w:t>14.19</w:t>
            </w:r>
          </w:p>
        </w:tc>
      </w:tr>
    </w:tbl>
    <w:p>
      <w:r>
        <w:drawing>
          <wp:inline xmlns:a="http://schemas.openxmlformats.org/drawingml/2006/main" xmlns:pic="http://schemas.openxmlformats.org/drawingml/2006/picture">
            <wp:extent cx="5669280" cy="1653540"/>
            <wp:docPr id="1" name="Picture 1"/>
            <wp:cNvGraphicFramePr>
              <a:graphicFrameLocks noChangeAspect="1"/>
            </wp:cNvGraphicFramePr>
            <a:graphic>
              <a:graphicData uri="http://schemas.openxmlformats.org/drawingml/2006/picture">
                <pic:pic>
                  <pic:nvPicPr>
                    <pic:cNvPr id="0" name="comparison.png"/>
                    <pic:cNvPicPr/>
                  </pic:nvPicPr>
                  <pic:blipFill>
                    <a:blip r:embed="rId9"/>
                    <a:stretch>
                      <a:fillRect/>
                    </a:stretch>
                  </pic:blipFill>
                  <pic:spPr>
                    <a:xfrm>
                      <a:off x="0" y="0"/>
                      <a:ext cx="5669280" cy="1653540"/>
                    </a:xfrm>
                    <a:prstGeom prst="rect"/>
                  </pic:spPr>
                </pic:pic>
              </a:graphicData>
            </a:graphic>
          </wp:inline>
        </w:drawing>
      </w:r>
    </w:p>
    <w:p>
      <w:pPr>
        <w:pStyle w:val="Heading1"/>
      </w:pPr>
      <w:r>
        <w:t>验证、限制与下一步</w:t>
      </w:r>
    </w:p>
    <w:p>
      <w:r>
        <w:t>测试覆盖小规模穷举与CP-SAT目标一致性、重复事件事务、能力缺失、资源耗尽、封闭全部道路、在途绕行、作业占用、超时降级、历史知识截止、伪造模型字段/引用、界面交互以及本地假服务的真实SDK协议。测试输出见results/test_output.txt。</w:t>
      </w:r>
    </w:p>
    <w:p>
      <w:r>
        <w:t>实际DeepSeek/GPT服务尚需用户在本机配置API后运行20条实测。当前兼容接口通过本地假服务与错误响应验证，不能替代真实提供商连通性和模型质量测试。</w:t>
      </w:r>
    </w:p>
    <w:p>
      <w:r>
        <w:t>本系统是逐轮确定性分配；未实现多阶段随机规划、未来需求预测、伤员生存概率、工程任务自动修复路网、多队伍同步作业、车辆载重和疲劳。道路受阻的节点抽象不能解释成现实车辆瞬间返回。</w:t>
      </w:r>
    </w:p>
    <w:p>
      <w:r>
        <w:t>下一步优先独立复核预案及文本标注、扩大任务与道路扰动，再研究保留资源、前瞻规划和更加真实的执行模型。不要根据此实验推广现实救援成效。</w:t>
      </w:r>
    </w:p>
    <w:p>
      <w:pPr>
        <w:pStyle w:val="Heading1"/>
      </w:pPr>
      <w:r>
        <w:t>参考来源</w:t>
      </w:r>
    </w:p>
    <w:p>
      <w:r>
        <w:t>国家自然灾害救助应急预案</w:t>
        <w:br/>
        <w:t>https://yjgl.xinjiang.gov.cn/xjyjgl/c112886/202402/c0f2c9158adf492dab74fdcf5f2fc02f.shtml</w:t>
      </w:r>
    </w:p>
    <w:p>
      <w:r>
        <w:t>四川省突发地质灾害应急预案（2024年度修订）</w:t>
        <w:br/>
        <w:t>https://dnr.sc.gov.cn/scdnr/scgsgg/2024/5/28/0da2f9d9af9d40b6a912749609be74f2/files/《四川省突发地质灾害应急预案（2024年度修订）》.pdf</w:t>
      </w:r>
    </w:p>
    <w:p>
      <w:r>
        <w:t>新华视点｜全力以赴抢险——四川康定山洪泥石流灾害救援进行时</w:t>
        <w:br/>
        <w:t>https://sc.news.cn/20240804/9aa6037c17e649599b9cee3283b7386f/c.html</w:t>
      </w:r>
    </w:p>
    <w:p>
      <w:r>
        <w:t>Bhattarai &amp; Song, Networks</w:t>
        <w:br/>
        <w:t>https://doi.org/10.1002/net.22249</w:t>
      </w:r>
    </w:p>
    <w:p>
      <w:r>
        <w:t>Lewis et al., RAG</w:t>
        <w:br/>
        <w:t>https://arxiv.org/abs/2005.11401</w:t>
      </w:r>
    </w:p>
    <w:p>
      <w:r>
        <w:t>OR-Tools assignment</w:t>
        <w:br/>
        <w:t>https://developers.google.com/optimization/assignment/assignment_example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