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北京市公安局海淀分局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取保候审决定书</w:t>
      </w:r>
    </w:p>
    <w:p/>
    <w:p>
      <w:r>
        <w:rPr>
          <w:rFonts w:ascii="宋体" w:hAnsi="宋体" w:eastAsia="宋体"/>
          <w:sz w:val="24"/>
        </w:rPr>
        <w:t>京海取保字〔2024〕第0089号</w:t>
      </w:r>
    </w:p>
    <w:p/>
    <w:p>
      <w:r>
        <w:rPr>
          <w:rFonts w:ascii="宋体" w:hAnsi="宋体" w:eastAsia="宋体"/>
          <w:sz w:val="24"/>
        </w:rPr>
        <w:t>犯罪嫌疑人：李某</w:t>
      </w:r>
    </w:p>
    <w:p>
      <w:r>
        <w:rPr>
          <w:rFonts w:ascii="宋体" w:hAnsi="宋体" w:eastAsia="宋体"/>
          <w:sz w:val="24"/>
        </w:rPr>
        <w:t>涉嫌罪名：故意伤害罪</w:t>
      </w:r>
    </w:p>
    <w:p/>
    <w:p>
      <w:r>
        <w:rPr>
          <w:rFonts w:ascii="宋体" w:hAnsi="宋体" w:eastAsia="宋体"/>
          <w:sz w:val="24"/>
        </w:rPr>
        <w:t>经本局审查认为，犯罪嫌疑人李某涉嫌故意伤害罪一案，因其具有自首情节，且无前科，不具有社会危险性，符合取保候审条件。根据《中华人民共和国刑事诉讼法》第六十七条之规定，决定对李某取保候审。</w:t>
      </w:r>
    </w:p>
    <w:p/>
    <w:p>
      <w:r>
        <w:rPr>
          <w:rFonts w:ascii="宋体" w:hAnsi="宋体" w:eastAsia="宋体"/>
          <w:sz w:val="24"/>
        </w:rPr>
        <w:t>取保候审期限：自2024年5月10日起至2025年5月9日止</w:t>
      </w:r>
    </w:p>
    <w:p>
      <w:r>
        <w:rPr>
          <w:rFonts w:ascii="宋体" w:hAnsi="宋体" w:eastAsia="宋体"/>
          <w:sz w:val="24"/>
        </w:rPr>
        <w:t>保证金金额：人民币10,000元</w:t>
      </w:r>
    </w:p>
    <w:p>
      <w:r>
        <w:rPr>
          <w:rFonts w:ascii="宋体" w:hAnsi="宋体" w:eastAsia="宋体"/>
          <w:sz w:val="24"/>
        </w:rPr>
        <w:t>义务规定：</w:t>
      </w:r>
    </w:p>
    <w:p>
      <w:r>
        <w:rPr>
          <w:rFonts w:ascii="宋体" w:hAnsi="宋体" w:eastAsia="宋体"/>
          <w:sz w:val="24"/>
        </w:rPr>
        <w:t>1. 未经批准不得离开北京市海淀区</w:t>
      </w:r>
    </w:p>
    <w:p>
      <w:r>
        <w:rPr>
          <w:rFonts w:ascii="宋体" w:hAnsi="宋体" w:eastAsia="宋体"/>
          <w:sz w:val="24"/>
        </w:rPr>
        <w:t>2. 在传讯的时候及时到案</w:t>
      </w:r>
    </w:p>
    <w:p>
      <w:r>
        <w:rPr>
          <w:rFonts w:ascii="宋体" w:hAnsi="宋体" w:eastAsia="宋体"/>
          <w:sz w:val="24"/>
        </w:rPr>
        <w:t>3. 不得干扰证人作证</w:t>
      </w:r>
    </w:p>
    <w:p>
      <w:r>
        <w:rPr>
          <w:rFonts w:ascii="宋体" w:hAnsi="宋体" w:eastAsia="宋体"/>
          <w:sz w:val="24"/>
        </w:rPr>
        <w:t>4. 不得毁灭、伪造证据或者串供</w:t>
      </w:r>
    </w:p>
    <w:p/>
    <w:p/>
    <w:p>
      <w:r>
        <w:rPr>
          <w:rFonts w:ascii="宋体" w:hAnsi="宋体" w:eastAsia="宋体"/>
          <w:sz w:val="24"/>
        </w:rPr>
        <w:t>批准人：刘志刚（副局长）</w:t>
      </w:r>
    </w:p>
    <w:p>
      <w:r>
        <w:rPr>
          <w:rFonts w:ascii="宋体" w:hAnsi="宋体" w:eastAsia="宋体"/>
          <w:sz w:val="24"/>
        </w:rPr>
        <w:t>北京市公安局海淀分局（盖章）</w:t>
      </w:r>
    </w:p>
    <w:p>
      <w:r>
        <w:rPr>
          <w:rFonts w:ascii="宋体" w:hAnsi="宋体" w:eastAsia="宋体"/>
          <w:sz w:val="24"/>
        </w:rPr>
        <w:t>2024年5月10日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