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34D2" w14:textId="77777777" w:rsidR="00A05713" w:rsidRPr="00A05713" w:rsidRDefault="00A05713" w:rsidP="00A05713">
      <w:pPr>
        <w:widowControl/>
        <w:spacing w:line="600" w:lineRule="atLeast"/>
        <w:jc w:val="left"/>
        <w:outlineLvl w:val="0"/>
        <w:rPr>
          <w:rFonts w:ascii="Tahoma" w:eastAsia="宋体" w:hAnsi="Tahoma" w:cs="Tahoma"/>
          <w:b/>
          <w:bCs/>
          <w:color w:val="222222"/>
          <w:kern w:val="36"/>
          <w:sz w:val="48"/>
          <w:szCs w:val="48"/>
        </w:rPr>
      </w:pPr>
      <w:r w:rsidRPr="00A05713">
        <w:rPr>
          <w:rFonts w:ascii="Tahoma" w:eastAsia="宋体" w:hAnsi="Tahoma" w:cs="Tahoma"/>
          <w:b/>
          <w:bCs/>
          <w:color w:val="222222"/>
          <w:kern w:val="36"/>
          <w:sz w:val="48"/>
          <w:szCs w:val="48"/>
        </w:rPr>
        <w:t>合同法司法解释</w:t>
      </w:r>
      <w:proofErr w:type="gramStart"/>
      <w:r w:rsidRPr="00A05713">
        <w:rPr>
          <w:rFonts w:ascii="Tahoma" w:eastAsia="宋体" w:hAnsi="Tahoma" w:cs="Tahoma"/>
          <w:b/>
          <w:bCs/>
          <w:color w:val="222222"/>
          <w:kern w:val="36"/>
          <w:sz w:val="48"/>
          <w:szCs w:val="48"/>
        </w:rPr>
        <w:t>一</w:t>
      </w:r>
      <w:proofErr w:type="gramEnd"/>
      <w:r w:rsidRPr="00A05713">
        <w:rPr>
          <w:rFonts w:ascii="Tahoma" w:eastAsia="宋体" w:hAnsi="Tahoma" w:cs="Tahoma"/>
          <w:b/>
          <w:bCs/>
          <w:color w:val="222222"/>
          <w:kern w:val="36"/>
          <w:sz w:val="48"/>
          <w:szCs w:val="48"/>
        </w:rPr>
        <w:t>（全文）</w:t>
      </w:r>
    </w:p>
    <w:p w14:paraId="7CFB1D40"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颁布单位：</w:t>
      </w:r>
      <w:r w:rsidRPr="00A05713">
        <w:rPr>
          <w:rFonts w:ascii="Tahoma" w:eastAsia="宋体" w:hAnsi="Tahoma" w:cs="Tahoma"/>
          <w:color w:val="999999"/>
          <w:kern w:val="0"/>
          <w:sz w:val="18"/>
          <w:szCs w:val="18"/>
        </w:rPr>
        <w:t xml:space="preserve"> </w:t>
      </w:r>
      <w:r w:rsidRPr="00A05713">
        <w:rPr>
          <w:rFonts w:ascii="Tahoma" w:eastAsia="宋体" w:hAnsi="Tahoma" w:cs="Tahoma"/>
          <w:color w:val="999999"/>
          <w:kern w:val="0"/>
          <w:sz w:val="18"/>
          <w:szCs w:val="18"/>
        </w:rPr>
        <w:t>最高人民法院</w:t>
      </w:r>
    </w:p>
    <w:p w14:paraId="489E0C99"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文号：</w:t>
      </w:r>
      <w:r w:rsidRPr="00A05713">
        <w:rPr>
          <w:rFonts w:ascii="Tahoma" w:eastAsia="宋体" w:hAnsi="Tahoma" w:cs="Tahoma"/>
          <w:color w:val="999999"/>
          <w:kern w:val="0"/>
          <w:sz w:val="18"/>
          <w:szCs w:val="18"/>
        </w:rPr>
        <w:t xml:space="preserve"> </w:t>
      </w:r>
      <w:r w:rsidRPr="00A05713">
        <w:rPr>
          <w:rFonts w:ascii="Tahoma" w:eastAsia="宋体" w:hAnsi="Tahoma" w:cs="Tahoma"/>
          <w:color w:val="999999"/>
          <w:kern w:val="0"/>
          <w:sz w:val="18"/>
          <w:szCs w:val="18"/>
        </w:rPr>
        <w:t>法释</w:t>
      </w:r>
      <w:r w:rsidRPr="00A05713">
        <w:rPr>
          <w:rFonts w:ascii="Tahoma" w:eastAsia="宋体" w:hAnsi="Tahoma" w:cs="Tahoma"/>
          <w:color w:val="999999"/>
          <w:kern w:val="0"/>
          <w:sz w:val="18"/>
          <w:szCs w:val="18"/>
        </w:rPr>
        <w:t>[1999]19</w:t>
      </w:r>
      <w:r w:rsidRPr="00A05713">
        <w:rPr>
          <w:rFonts w:ascii="Tahoma" w:eastAsia="宋体" w:hAnsi="Tahoma" w:cs="Tahoma"/>
          <w:color w:val="999999"/>
          <w:kern w:val="0"/>
          <w:sz w:val="18"/>
          <w:szCs w:val="18"/>
        </w:rPr>
        <w:t>号</w:t>
      </w:r>
    </w:p>
    <w:p w14:paraId="7256163B"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颁布日期：</w:t>
      </w:r>
      <w:r w:rsidRPr="00A05713">
        <w:rPr>
          <w:rFonts w:ascii="Tahoma" w:eastAsia="宋体" w:hAnsi="Tahoma" w:cs="Tahoma"/>
          <w:color w:val="999999"/>
          <w:kern w:val="0"/>
          <w:sz w:val="18"/>
          <w:szCs w:val="18"/>
        </w:rPr>
        <w:t>1999-12-19</w:t>
      </w:r>
    </w:p>
    <w:p w14:paraId="6B9FCEAA"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执行日期：</w:t>
      </w:r>
      <w:r w:rsidRPr="00A05713">
        <w:rPr>
          <w:rFonts w:ascii="Tahoma" w:eastAsia="宋体" w:hAnsi="Tahoma" w:cs="Tahoma"/>
          <w:color w:val="999999"/>
          <w:kern w:val="0"/>
          <w:sz w:val="18"/>
          <w:szCs w:val="18"/>
        </w:rPr>
        <w:t>1999-12-19</w:t>
      </w:r>
    </w:p>
    <w:p w14:paraId="6CC84C10"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时</w:t>
      </w:r>
      <w:r w:rsidRPr="00A05713">
        <w:rPr>
          <w:rFonts w:ascii="Tahoma" w:eastAsia="宋体" w:hAnsi="Tahoma" w:cs="Tahoma"/>
          <w:color w:val="999999"/>
          <w:kern w:val="0"/>
          <w:sz w:val="18"/>
          <w:szCs w:val="18"/>
        </w:rPr>
        <w:t> </w:t>
      </w:r>
      <w:r w:rsidRPr="00A05713">
        <w:rPr>
          <w:rFonts w:ascii="Tahoma" w:eastAsia="宋体" w:hAnsi="Tahoma" w:cs="Tahoma"/>
          <w:color w:val="999999"/>
          <w:kern w:val="0"/>
          <w:sz w:val="18"/>
          <w:szCs w:val="18"/>
        </w:rPr>
        <w:t>效</w:t>
      </w:r>
      <w:r w:rsidRPr="00A05713">
        <w:rPr>
          <w:rFonts w:ascii="Tahoma" w:eastAsia="宋体" w:hAnsi="Tahoma" w:cs="Tahoma"/>
          <w:color w:val="999999"/>
          <w:kern w:val="0"/>
          <w:sz w:val="18"/>
          <w:szCs w:val="18"/>
        </w:rPr>
        <w:t>  </w:t>
      </w:r>
      <w:r w:rsidRPr="00A05713">
        <w:rPr>
          <w:rFonts w:ascii="Tahoma" w:eastAsia="宋体" w:hAnsi="Tahoma" w:cs="Tahoma"/>
          <w:color w:val="999999"/>
          <w:kern w:val="0"/>
          <w:sz w:val="18"/>
          <w:szCs w:val="18"/>
        </w:rPr>
        <w:t>性：</w:t>
      </w:r>
      <w:r w:rsidRPr="00A05713">
        <w:rPr>
          <w:rFonts w:ascii="Tahoma" w:eastAsia="宋体" w:hAnsi="Tahoma" w:cs="Tahoma"/>
          <w:color w:val="999999"/>
          <w:kern w:val="0"/>
          <w:sz w:val="18"/>
          <w:szCs w:val="18"/>
        </w:rPr>
        <w:t xml:space="preserve"> </w:t>
      </w:r>
      <w:r w:rsidRPr="00A05713">
        <w:rPr>
          <w:rFonts w:ascii="Tahoma" w:eastAsia="宋体" w:hAnsi="Tahoma" w:cs="Tahoma"/>
          <w:color w:val="999999"/>
          <w:kern w:val="0"/>
          <w:sz w:val="18"/>
          <w:szCs w:val="18"/>
        </w:rPr>
        <w:t>现行有效</w:t>
      </w:r>
    </w:p>
    <w:p w14:paraId="5B1AE8D6" w14:textId="77777777" w:rsidR="00A05713" w:rsidRPr="00A05713" w:rsidRDefault="00A05713" w:rsidP="00A05713">
      <w:pPr>
        <w:widowControl/>
        <w:numPr>
          <w:ilvl w:val="0"/>
          <w:numId w:val="1"/>
        </w:numPr>
        <w:shd w:val="clear" w:color="auto" w:fill="F1F1F1"/>
        <w:spacing w:line="390" w:lineRule="atLeast"/>
        <w:ind w:left="0"/>
        <w:jc w:val="left"/>
        <w:rPr>
          <w:rFonts w:ascii="Tahoma" w:eastAsia="宋体" w:hAnsi="Tahoma" w:cs="Tahoma"/>
          <w:color w:val="999999"/>
          <w:kern w:val="0"/>
          <w:sz w:val="18"/>
          <w:szCs w:val="18"/>
        </w:rPr>
      </w:pPr>
      <w:r w:rsidRPr="00A05713">
        <w:rPr>
          <w:rFonts w:ascii="Tahoma" w:eastAsia="宋体" w:hAnsi="Tahoma" w:cs="Tahoma"/>
          <w:color w:val="999999"/>
          <w:kern w:val="0"/>
          <w:sz w:val="18"/>
          <w:szCs w:val="18"/>
        </w:rPr>
        <w:t>效力级别：</w:t>
      </w:r>
      <w:r w:rsidRPr="00A05713">
        <w:rPr>
          <w:rFonts w:ascii="Tahoma" w:eastAsia="宋体" w:hAnsi="Tahoma" w:cs="Tahoma"/>
          <w:color w:val="999999"/>
          <w:kern w:val="0"/>
          <w:sz w:val="18"/>
          <w:szCs w:val="18"/>
        </w:rPr>
        <w:t xml:space="preserve"> </w:t>
      </w:r>
      <w:r w:rsidRPr="00A05713">
        <w:rPr>
          <w:rFonts w:ascii="Tahoma" w:eastAsia="宋体" w:hAnsi="Tahoma" w:cs="Tahoma"/>
          <w:color w:val="999999"/>
          <w:kern w:val="0"/>
          <w:sz w:val="18"/>
          <w:szCs w:val="18"/>
        </w:rPr>
        <w:t>法律</w:t>
      </w:r>
    </w:p>
    <w:p w14:paraId="326350A8"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为了正确审理</w:t>
      </w:r>
      <w:hyperlink r:id="rId7" w:tgtFrame="_blank" w:tooltip="合同纠纷" w:history="1">
        <w:r w:rsidRPr="00A05713">
          <w:rPr>
            <w:rFonts w:ascii="Tahoma" w:eastAsia="宋体" w:hAnsi="Tahoma" w:cs="Tahoma"/>
            <w:color w:val="333333"/>
            <w:kern w:val="0"/>
            <w:sz w:val="24"/>
            <w:szCs w:val="24"/>
            <w:u w:val="single"/>
          </w:rPr>
          <w:t>合同纠纷</w:t>
        </w:r>
      </w:hyperlink>
      <w:r w:rsidRPr="00A05713">
        <w:rPr>
          <w:rFonts w:ascii="Tahoma" w:eastAsia="宋体" w:hAnsi="Tahoma" w:cs="Tahoma"/>
          <w:color w:val="666666"/>
          <w:kern w:val="0"/>
          <w:sz w:val="24"/>
          <w:szCs w:val="24"/>
        </w:rPr>
        <w:t>案件，根据《中华人民共和国</w:t>
      </w:r>
      <w:hyperlink r:id="rId8" w:tgtFrame="_blank" w:tooltip="合同法" w:history="1">
        <w:r w:rsidRPr="00A05713">
          <w:rPr>
            <w:rFonts w:ascii="Tahoma" w:eastAsia="宋体" w:hAnsi="Tahoma" w:cs="Tahoma"/>
            <w:color w:val="333333"/>
            <w:kern w:val="0"/>
            <w:sz w:val="24"/>
            <w:szCs w:val="24"/>
            <w:u w:val="single"/>
          </w:rPr>
          <w:t>合同法</w:t>
        </w:r>
      </w:hyperlink>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以下简称合同法</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的规定，对人民</w:t>
      </w:r>
      <w:hyperlink r:id="rId9" w:tgtFrame="_blank" w:tooltip="法院" w:history="1">
        <w:r w:rsidRPr="00A05713">
          <w:rPr>
            <w:rFonts w:ascii="Tahoma" w:eastAsia="宋体" w:hAnsi="Tahoma" w:cs="Tahoma"/>
            <w:color w:val="333333"/>
            <w:kern w:val="0"/>
            <w:sz w:val="24"/>
            <w:szCs w:val="24"/>
            <w:u w:val="single"/>
          </w:rPr>
          <w:t>法院</w:t>
        </w:r>
      </w:hyperlink>
      <w:r w:rsidRPr="00A05713">
        <w:rPr>
          <w:rFonts w:ascii="Tahoma" w:eastAsia="宋体" w:hAnsi="Tahoma" w:cs="Tahoma"/>
          <w:color w:val="666666"/>
          <w:kern w:val="0"/>
          <w:sz w:val="24"/>
          <w:szCs w:val="24"/>
        </w:rPr>
        <w:t>适用合同法的有关问题</w:t>
      </w:r>
      <w:proofErr w:type="gramStart"/>
      <w:r w:rsidRPr="00A05713">
        <w:rPr>
          <w:rFonts w:ascii="Tahoma" w:eastAsia="宋体" w:hAnsi="Tahoma" w:cs="Tahoma"/>
          <w:color w:val="666666"/>
          <w:kern w:val="0"/>
          <w:sz w:val="24"/>
          <w:szCs w:val="24"/>
        </w:rPr>
        <w:t>作出</w:t>
      </w:r>
      <w:proofErr w:type="gramEnd"/>
      <w:r w:rsidRPr="00A05713">
        <w:rPr>
          <w:rFonts w:ascii="Tahoma" w:eastAsia="宋体" w:hAnsi="Tahoma" w:cs="Tahoma"/>
          <w:color w:val="666666"/>
          <w:kern w:val="0"/>
          <w:sz w:val="24"/>
          <w:szCs w:val="24"/>
        </w:rPr>
        <w:t>如下解释：</w:t>
      </w:r>
    </w:p>
    <w:p w14:paraId="2719FAA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一、法律适用范围</w:t>
      </w:r>
    </w:p>
    <w:p w14:paraId="2AB08B71"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第一条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合同法实施以后成立的合同发生纠纷起诉到人民法院的，适用合同法的规定</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合同法实施以前成立的合同发生纠纷起诉到人民法院的，除本解释另有规定的以外，适用当时的法律规定，当时没有法律规定的，可以适用合同法的有关规定。</w:t>
      </w:r>
    </w:p>
    <w:p w14:paraId="51E2342F"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合同成立于合同法实施之前，但合同约定的履行期限跨越合同法实施之日或者履行期限在合同法实施之后，因履行合同发生的纠纷，适用合同法第四章的有关规定。</w:t>
      </w:r>
    </w:p>
    <w:p w14:paraId="6DF8C983"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第三条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人民法院确认合同效力时，对合同法实施以前成立的合同，适用当时的法律</w:t>
      </w:r>
      <w:hyperlink r:id="rId10" w:tgtFrame="_blank" w:tooltip="合同无效" w:history="1">
        <w:r w:rsidRPr="00A05713">
          <w:rPr>
            <w:rFonts w:ascii="Tahoma" w:eastAsia="宋体" w:hAnsi="Tahoma" w:cs="Tahoma"/>
            <w:color w:val="333333"/>
            <w:kern w:val="0"/>
            <w:sz w:val="24"/>
            <w:szCs w:val="24"/>
            <w:u w:val="single"/>
          </w:rPr>
          <w:t>合同无效</w:t>
        </w:r>
      </w:hyperlink>
      <w:r w:rsidRPr="00A05713">
        <w:rPr>
          <w:rFonts w:ascii="Tahoma" w:eastAsia="宋体" w:hAnsi="Tahoma" w:cs="Tahoma"/>
          <w:color w:val="666666"/>
          <w:kern w:val="0"/>
          <w:sz w:val="24"/>
          <w:szCs w:val="24"/>
        </w:rPr>
        <w:t>而适用合同法合同有效的，则适用合同法。</w:t>
      </w:r>
    </w:p>
    <w:p w14:paraId="7C5789A4"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第四条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合同法实施以后，人民法院确认合同无效，应当以全国人大及其党委会制定的法律和国务院制定的行政法规为依据，不得以地方性法规、行政规章为依据。</w:t>
      </w:r>
    </w:p>
    <w:p w14:paraId="45485DE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lastRenderedPageBreak/>
        <w:t>第五条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人民法院对合同法实施以前已</w:t>
      </w:r>
      <w:proofErr w:type="gramStart"/>
      <w:r w:rsidRPr="00A05713">
        <w:rPr>
          <w:rFonts w:ascii="Tahoma" w:eastAsia="宋体" w:hAnsi="Tahoma" w:cs="Tahoma"/>
          <w:color w:val="666666"/>
          <w:kern w:val="0"/>
          <w:sz w:val="24"/>
          <w:szCs w:val="24"/>
        </w:rPr>
        <w:t>作出</w:t>
      </w:r>
      <w:proofErr w:type="gramEnd"/>
      <w:r w:rsidRPr="00A05713">
        <w:rPr>
          <w:rFonts w:ascii="Tahoma" w:eastAsia="宋体" w:hAnsi="Tahoma" w:cs="Tahoma"/>
          <w:color w:val="666666"/>
          <w:kern w:val="0"/>
          <w:sz w:val="24"/>
          <w:szCs w:val="24"/>
        </w:rPr>
        <w:t>终审裁决的案件进行再审，不适用合同法。</w:t>
      </w:r>
    </w:p>
    <w:p w14:paraId="0446399D"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二、诉讼时效</w:t>
      </w:r>
    </w:p>
    <w:p w14:paraId="151CEA58"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第六条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技术合同争议当事人的权利受到侵害的事实发生在合同法实施之前，自当事人知道或者应当知道其权利受到侵害之日起至合同法实施之日超过一年的，人民法院不予保护</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尚未超过一年的，其提起诉讼的时效期间为二年。</w:t>
      </w:r>
    </w:p>
    <w:p w14:paraId="1156EF3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第七条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技术进出口合同争议当事人的权利受到侵害的事实发生在合同法实施之前，自当事人知道或者应当知道其权利受到侵害之日起至合同法实施行之日超过二年的，人民法院不予保护</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尚未超过二年的，其提起诉讼的时效期间为四年。</w:t>
      </w:r>
    </w:p>
    <w:p w14:paraId="4F22C746"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第八条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合同法第五十五条规定的</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一年</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、第七十五条和第一百零四条第二款规定的</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五年</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为不变期间，不适用诉讼时效中止、中断或者延长的规定。</w:t>
      </w:r>
    </w:p>
    <w:p w14:paraId="0443A32C"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三、合同效力</w:t>
      </w:r>
    </w:p>
    <w:p w14:paraId="31D7813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第九条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依照合同法第四十四条第二款的规定，法律、行政法规规定合同应当办理批准手续，或者办理批准、登记等手续才生效，在一审法庭辩论终结前当事人仍未办理批准手续的，或者仍未办理批准、登记等手续的，人民法院应当认定该合同未生效</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法律、行政法规规定合同应当办理登记手续，但未规定登记后生效的，当事人未办理登记手续不影响合同的效力，合同标的所有权及其他物权不能转移。</w:t>
      </w:r>
    </w:p>
    <w:p w14:paraId="3383DCBD"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lastRenderedPageBreak/>
        <w:t>合同法第七十七条第二款、第八十七条、第九十六条第二款规定所列合同变更、转让、解除等情形，依照前款规定处理。</w:t>
      </w:r>
    </w:p>
    <w:p w14:paraId="64B81161"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当事人超越经营范围订立合同，人民法院</w:t>
      </w:r>
      <w:proofErr w:type="gramStart"/>
      <w:r w:rsidRPr="00A05713">
        <w:rPr>
          <w:rFonts w:ascii="Tahoma" w:eastAsia="宋体" w:hAnsi="Tahoma" w:cs="Tahoma"/>
          <w:color w:val="666666"/>
          <w:kern w:val="0"/>
          <w:sz w:val="24"/>
          <w:szCs w:val="24"/>
        </w:rPr>
        <w:t>不</w:t>
      </w:r>
      <w:proofErr w:type="gramEnd"/>
      <w:r w:rsidRPr="00A05713">
        <w:rPr>
          <w:rFonts w:ascii="Tahoma" w:eastAsia="宋体" w:hAnsi="Tahoma" w:cs="Tahoma"/>
          <w:color w:val="666666"/>
          <w:kern w:val="0"/>
          <w:sz w:val="24"/>
          <w:szCs w:val="24"/>
        </w:rPr>
        <w:t>因此认定合同无效。但违反国家限制经营、特许经营以及法律、行政法规禁止经营的除外。</w:t>
      </w:r>
    </w:p>
    <w:p w14:paraId="047FA476"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四、代位权</w:t>
      </w:r>
    </w:p>
    <w:p w14:paraId="2FD4FDC3"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第十一条</w:t>
      </w:r>
      <w:r w:rsidRPr="00A05713">
        <w:rPr>
          <w:rFonts w:ascii="Tahoma" w:eastAsia="宋体" w:hAnsi="Tahoma" w:cs="Tahoma"/>
          <w:color w:val="666666"/>
          <w:kern w:val="0"/>
          <w:sz w:val="24"/>
          <w:szCs w:val="24"/>
        </w:rPr>
        <w:t> </w:t>
      </w:r>
      <w:hyperlink r:id="rId11" w:tgtFrame="_blank" w:tooltip="债权人" w:history="1">
        <w:r w:rsidRPr="00A05713">
          <w:rPr>
            <w:rFonts w:ascii="Tahoma" w:eastAsia="宋体" w:hAnsi="Tahoma" w:cs="Tahoma"/>
            <w:color w:val="333333"/>
            <w:kern w:val="0"/>
            <w:sz w:val="24"/>
            <w:szCs w:val="24"/>
            <w:u w:val="single"/>
          </w:rPr>
          <w:t>债权人</w:t>
        </w:r>
      </w:hyperlink>
      <w:r w:rsidRPr="00A05713">
        <w:rPr>
          <w:rFonts w:ascii="Tahoma" w:eastAsia="宋体" w:hAnsi="Tahoma" w:cs="Tahoma"/>
          <w:color w:val="666666"/>
          <w:kern w:val="0"/>
          <w:sz w:val="24"/>
          <w:szCs w:val="24"/>
        </w:rPr>
        <w:t>依照合同法第七十三条的规定提起代位权诉讼，应当符合下列条件：</w:t>
      </w:r>
    </w:p>
    <w:p w14:paraId="1917F2D7"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w:t>
      </w:r>
      <w:proofErr w:type="gramStart"/>
      <w:r w:rsidRPr="00A05713">
        <w:rPr>
          <w:rFonts w:ascii="Tahoma" w:eastAsia="宋体" w:hAnsi="Tahoma" w:cs="Tahoma"/>
          <w:color w:val="666666"/>
          <w:kern w:val="0"/>
          <w:sz w:val="24"/>
          <w:szCs w:val="24"/>
        </w:rPr>
        <w:t>一</w:t>
      </w:r>
      <w:proofErr w:type="gramEnd"/>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债权人对</w:t>
      </w:r>
      <w:hyperlink r:id="rId12" w:tgtFrame="_blank" w:tooltip="债务人" w:history="1">
        <w:r w:rsidRPr="00A05713">
          <w:rPr>
            <w:rFonts w:ascii="Tahoma" w:eastAsia="宋体" w:hAnsi="Tahoma" w:cs="Tahoma"/>
            <w:color w:val="333333"/>
            <w:kern w:val="0"/>
            <w:sz w:val="24"/>
            <w:szCs w:val="24"/>
            <w:u w:val="single"/>
          </w:rPr>
          <w:t>债务人</w:t>
        </w:r>
      </w:hyperlink>
      <w:r w:rsidRPr="00A05713">
        <w:rPr>
          <w:rFonts w:ascii="Tahoma" w:eastAsia="宋体" w:hAnsi="Tahoma" w:cs="Tahoma"/>
          <w:color w:val="666666"/>
          <w:kern w:val="0"/>
          <w:sz w:val="24"/>
          <w:szCs w:val="24"/>
        </w:rPr>
        <w:t>的债权合法</w:t>
      </w:r>
      <w:r w:rsidRPr="00A05713">
        <w:rPr>
          <w:rFonts w:ascii="Tahoma" w:eastAsia="宋体" w:hAnsi="Tahoma" w:cs="Tahoma"/>
          <w:color w:val="666666"/>
          <w:kern w:val="0"/>
          <w:sz w:val="24"/>
          <w:szCs w:val="24"/>
        </w:rPr>
        <w:t>;</w:t>
      </w:r>
    </w:p>
    <w:p w14:paraId="46CBE325"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二</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债务人</w:t>
      </w:r>
      <w:proofErr w:type="gramStart"/>
      <w:r w:rsidRPr="00A05713">
        <w:rPr>
          <w:rFonts w:ascii="Tahoma" w:eastAsia="宋体" w:hAnsi="Tahoma" w:cs="Tahoma"/>
          <w:color w:val="666666"/>
          <w:kern w:val="0"/>
          <w:sz w:val="24"/>
          <w:szCs w:val="24"/>
        </w:rPr>
        <w:t>怠</w:t>
      </w:r>
      <w:proofErr w:type="gramEnd"/>
      <w:r w:rsidRPr="00A05713">
        <w:rPr>
          <w:rFonts w:ascii="Tahoma" w:eastAsia="宋体" w:hAnsi="Tahoma" w:cs="Tahoma"/>
          <w:color w:val="666666"/>
          <w:kern w:val="0"/>
          <w:sz w:val="24"/>
          <w:szCs w:val="24"/>
        </w:rPr>
        <w:t>于行使其到期债权，对债权人造成损害</w:t>
      </w:r>
      <w:r w:rsidRPr="00A05713">
        <w:rPr>
          <w:rFonts w:ascii="Tahoma" w:eastAsia="宋体" w:hAnsi="Tahoma" w:cs="Tahoma"/>
          <w:color w:val="666666"/>
          <w:kern w:val="0"/>
          <w:sz w:val="24"/>
          <w:szCs w:val="24"/>
        </w:rPr>
        <w:t>;</w:t>
      </w:r>
    </w:p>
    <w:p w14:paraId="16D5CF65"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三</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债务人的债权已到期</w:t>
      </w:r>
      <w:r w:rsidRPr="00A05713">
        <w:rPr>
          <w:rFonts w:ascii="Tahoma" w:eastAsia="宋体" w:hAnsi="Tahoma" w:cs="Tahoma"/>
          <w:color w:val="666666"/>
          <w:kern w:val="0"/>
          <w:sz w:val="24"/>
          <w:szCs w:val="24"/>
        </w:rPr>
        <w:t>;</w:t>
      </w:r>
    </w:p>
    <w:p w14:paraId="23821E13"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四</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债务人的债权不是专属于债务人自身的债权。</w:t>
      </w:r>
    </w:p>
    <w:p w14:paraId="51C88436"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第十二条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合同法第七十三条第一款规定的专属于债务人自身的债权，是指基于</w:t>
      </w:r>
      <w:hyperlink r:id="rId13" w:tgtFrame="_blank" w:tooltip="抚养" w:history="1">
        <w:r w:rsidRPr="00A05713">
          <w:rPr>
            <w:rFonts w:ascii="Tahoma" w:eastAsia="宋体" w:hAnsi="Tahoma" w:cs="Tahoma"/>
            <w:color w:val="333333"/>
            <w:kern w:val="0"/>
            <w:sz w:val="24"/>
            <w:szCs w:val="24"/>
            <w:u w:val="single"/>
          </w:rPr>
          <w:t>抚养</w:t>
        </w:r>
      </w:hyperlink>
      <w:r w:rsidRPr="00A05713">
        <w:rPr>
          <w:rFonts w:ascii="Tahoma" w:eastAsia="宋体" w:hAnsi="Tahoma" w:cs="Tahoma"/>
          <w:color w:val="666666"/>
          <w:kern w:val="0"/>
          <w:sz w:val="24"/>
          <w:szCs w:val="24"/>
        </w:rPr>
        <w:t>关系、</w:t>
      </w:r>
      <w:hyperlink r:id="rId14" w:tgtFrame="_blank" w:tooltip="扶养" w:history="1">
        <w:r w:rsidRPr="00A05713">
          <w:rPr>
            <w:rFonts w:ascii="Tahoma" w:eastAsia="宋体" w:hAnsi="Tahoma" w:cs="Tahoma"/>
            <w:color w:val="333333"/>
            <w:kern w:val="0"/>
            <w:sz w:val="24"/>
            <w:szCs w:val="24"/>
            <w:u w:val="single"/>
          </w:rPr>
          <w:t>扶养</w:t>
        </w:r>
      </w:hyperlink>
      <w:r w:rsidRPr="00A05713">
        <w:rPr>
          <w:rFonts w:ascii="Tahoma" w:eastAsia="宋体" w:hAnsi="Tahoma" w:cs="Tahoma"/>
          <w:color w:val="666666"/>
          <w:kern w:val="0"/>
          <w:sz w:val="24"/>
          <w:szCs w:val="24"/>
        </w:rPr>
        <w:t>关系、继承关系产生的给付请求权和劳动报酬、</w:t>
      </w:r>
      <w:hyperlink r:id="rId15" w:tgtFrame="_blank" w:tooltip="退休金" w:history="1">
        <w:r w:rsidRPr="00A05713">
          <w:rPr>
            <w:rFonts w:ascii="Tahoma" w:eastAsia="宋体" w:hAnsi="Tahoma" w:cs="Tahoma"/>
            <w:color w:val="333333"/>
            <w:kern w:val="0"/>
            <w:sz w:val="24"/>
            <w:szCs w:val="24"/>
            <w:u w:val="single"/>
          </w:rPr>
          <w:t>退休金</w:t>
        </w:r>
      </w:hyperlink>
      <w:r w:rsidRPr="00A05713">
        <w:rPr>
          <w:rFonts w:ascii="Tahoma" w:eastAsia="宋体" w:hAnsi="Tahoma" w:cs="Tahoma"/>
          <w:color w:val="666666"/>
          <w:kern w:val="0"/>
          <w:sz w:val="24"/>
          <w:szCs w:val="24"/>
        </w:rPr>
        <w:t>、</w:t>
      </w:r>
      <w:hyperlink r:id="rId16" w:tgtFrame="_blank" w:tooltip="养老金" w:history="1">
        <w:r w:rsidRPr="00A05713">
          <w:rPr>
            <w:rFonts w:ascii="Tahoma" w:eastAsia="宋体" w:hAnsi="Tahoma" w:cs="Tahoma"/>
            <w:color w:val="333333"/>
            <w:kern w:val="0"/>
            <w:sz w:val="24"/>
            <w:szCs w:val="24"/>
            <w:u w:val="single"/>
          </w:rPr>
          <w:t>养老金</w:t>
        </w:r>
      </w:hyperlink>
      <w:r w:rsidRPr="00A05713">
        <w:rPr>
          <w:rFonts w:ascii="Tahoma" w:eastAsia="宋体" w:hAnsi="Tahoma" w:cs="Tahoma"/>
          <w:color w:val="666666"/>
          <w:kern w:val="0"/>
          <w:sz w:val="24"/>
          <w:szCs w:val="24"/>
        </w:rPr>
        <w:t>、</w:t>
      </w:r>
      <w:hyperlink r:id="rId17" w:tgtFrame="_blank" w:tooltip="抚恤金" w:history="1">
        <w:r w:rsidRPr="00A05713">
          <w:rPr>
            <w:rFonts w:ascii="Tahoma" w:eastAsia="宋体" w:hAnsi="Tahoma" w:cs="Tahoma"/>
            <w:color w:val="333333"/>
            <w:kern w:val="0"/>
            <w:sz w:val="24"/>
            <w:szCs w:val="24"/>
            <w:u w:val="single"/>
          </w:rPr>
          <w:t>抚恤金</w:t>
        </w:r>
      </w:hyperlink>
      <w:r w:rsidRPr="00A05713">
        <w:rPr>
          <w:rFonts w:ascii="Tahoma" w:eastAsia="宋体" w:hAnsi="Tahoma" w:cs="Tahoma"/>
          <w:color w:val="666666"/>
          <w:kern w:val="0"/>
          <w:sz w:val="24"/>
          <w:szCs w:val="24"/>
        </w:rPr>
        <w:t>、安置费、人寿保险、</w:t>
      </w:r>
      <w:hyperlink r:id="rId18" w:tgtFrame="_blank" w:tooltip="人身伤害" w:history="1">
        <w:r w:rsidRPr="00A05713">
          <w:rPr>
            <w:rFonts w:ascii="Tahoma" w:eastAsia="宋体" w:hAnsi="Tahoma" w:cs="Tahoma"/>
            <w:color w:val="333333"/>
            <w:kern w:val="0"/>
            <w:sz w:val="24"/>
            <w:szCs w:val="24"/>
            <w:u w:val="single"/>
          </w:rPr>
          <w:t>人身伤害</w:t>
        </w:r>
      </w:hyperlink>
      <w:r w:rsidRPr="00A05713">
        <w:rPr>
          <w:rFonts w:ascii="Tahoma" w:eastAsia="宋体" w:hAnsi="Tahoma" w:cs="Tahoma"/>
          <w:color w:val="666666"/>
          <w:kern w:val="0"/>
          <w:sz w:val="24"/>
          <w:szCs w:val="24"/>
        </w:rPr>
        <w:t>赔偿请求权等权利。</w:t>
      </w:r>
    </w:p>
    <w:p w14:paraId="1484E622"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第十三条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合同法第七十三条规定的</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债务人</w:t>
      </w:r>
      <w:proofErr w:type="gramStart"/>
      <w:r w:rsidRPr="00A05713">
        <w:rPr>
          <w:rFonts w:ascii="Tahoma" w:eastAsia="宋体" w:hAnsi="Tahoma" w:cs="Tahoma"/>
          <w:color w:val="666666"/>
          <w:kern w:val="0"/>
          <w:sz w:val="24"/>
          <w:szCs w:val="24"/>
        </w:rPr>
        <w:t>怠</w:t>
      </w:r>
      <w:proofErr w:type="gramEnd"/>
      <w:r w:rsidRPr="00A05713">
        <w:rPr>
          <w:rFonts w:ascii="Tahoma" w:eastAsia="宋体" w:hAnsi="Tahoma" w:cs="Tahoma"/>
          <w:color w:val="666666"/>
          <w:kern w:val="0"/>
          <w:sz w:val="24"/>
          <w:szCs w:val="24"/>
        </w:rPr>
        <w:t>于行使其到期债权、对债权人造成损害的</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，是指债务人不履行其对债权人的到期债务，又不以诉讼方式或</w:t>
      </w:r>
      <w:r w:rsidRPr="00A05713">
        <w:rPr>
          <w:rFonts w:ascii="Tahoma" w:eastAsia="宋体" w:hAnsi="Tahoma" w:cs="Tahoma"/>
          <w:color w:val="666666"/>
          <w:kern w:val="0"/>
          <w:sz w:val="24"/>
          <w:szCs w:val="24"/>
        </w:rPr>
        <w:lastRenderedPageBreak/>
        <w:t>者</w:t>
      </w:r>
      <w:hyperlink r:id="rId19" w:tgtFrame="_blank" w:tooltip="仲裁" w:history="1">
        <w:r w:rsidRPr="00A05713">
          <w:rPr>
            <w:rFonts w:ascii="Tahoma" w:eastAsia="宋体" w:hAnsi="Tahoma" w:cs="Tahoma"/>
            <w:color w:val="333333"/>
            <w:kern w:val="0"/>
            <w:sz w:val="24"/>
            <w:szCs w:val="24"/>
            <w:u w:val="single"/>
          </w:rPr>
          <w:t>仲裁</w:t>
        </w:r>
      </w:hyperlink>
      <w:r w:rsidRPr="00A05713">
        <w:rPr>
          <w:rFonts w:ascii="Tahoma" w:eastAsia="宋体" w:hAnsi="Tahoma" w:cs="Tahoma"/>
          <w:color w:val="666666"/>
          <w:kern w:val="0"/>
          <w:sz w:val="24"/>
          <w:szCs w:val="24"/>
        </w:rPr>
        <w:t>方式向其债务人主张其享有的具有金钱给付内容的到期债权情况的应当承担举证责任。</w:t>
      </w:r>
    </w:p>
    <w:p w14:paraId="497D6A03"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次债务人</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即债务人的债务人</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不认为债务人有</w:t>
      </w:r>
      <w:proofErr w:type="gramStart"/>
      <w:r w:rsidRPr="00A05713">
        <w:rPr>
          <w:rFonts w:ascii="Tahoma" w:eastAsia="宋体" w:hAnsi="Tahoma" w:cs="Tahoma"/>
          <w:color w:val="666666"/>
          <w:kern w:val="0"/>
          <w:sz w:val="24"/>
          <w:szCs w:val="24"/>
        </w:rPr>
        <w:t>怠</w:t>
      </w:r>
      <w:proofErr w:type="gramEnd"/>
      <w:r w:rsidRPr="00A05713">
        <w:rPr>
          <w:rFonts w:ascii="Tahoma" w:eastAsia="宋体" w:hAnsi="Tahoma" w:cs="Tahoma"/>
          <w:color w:val="666666"/>
          <w:kern w:val="0"/>
          <w:sz w:val="24"/>
          <w:szCs w:val="24"/>
        </w:rPr>
        <w:t>于行使其到期债权情况的，应当承担举证责任。</w:t>
      </w:r>
    </w:p>
    <w:p w14:paraId="6B58CFC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第十四条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债权人依照合同法第七十三条的规定提起代位权诉讼的，由被告住所地人民法院管辖。</w:t>
      </w:r>
    </w:p>
    <w:p w14:paraId="4926F0B6"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第十五条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债权人向人民法院起诉债务人以后，又向同一人民法院对次债务人提起代位权诉讼，符合本解释第十四条的规定和《中华人民共和国</w:t>
      </w:r>
      <w:hyperlink r:id="rId20" w:tgtFrame="_blank" w:tooltip="民事诉讼法" w:history="1">
        <w:r w:rsidRPr="00A05713">
          <w:rPr>
            <w:rFonts w:ascii="Tahoma" w:eastAsia="宋体" w:hAnsi="Tahoma" w:cs="Tahoma"/>
            <w:color w:val="333333"/>
            <w:kern w:val="0"/>
            <w:sz w:val="24"/>
            <w:szCs w:val="24"/>
            <w:u w:val="single"/>
          </w:rPr>
          <w:t>民事诉讼法</w:t>
        </w:r>
      </w:hyperlink>
      <w:r w:rsidRPr="00A05713">
        <w:rPr>
          <w:rFonts w:ascii="Tahoma" w:eastAsia="宋体" w:hAnsi="Tahoma" w:cs="Tahoma"/>
          <w:color w:val="666666"/>
          <w:kern w:val="0"/>
          <w:sz w:val="24"/>
          <w:szCs w:val="24"/>
        </w:rPr>
        <w:t>》第一百零八条规定的起诉条件的，应当立案受理</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不符合本解释第十四条规定的，告知债权人向次债务人住所地人民法院另行起诉。</w:t>
      </w:r>
    </w:p>
    <w:p w14:paraId="75ED489C"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受理代位权诉讼的人民法院在债权人起诉债务人的诉讼裁决发生法律效力以前，应当依照《中华人民共和国民事诉讼法》第一百三十六条第</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五</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项的规定中止代位权诉讼。</w:t>
      </w:r>
    </w:p>
    <w:p w14:paraId="2B07885A"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第十六条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债权人以次债务人为被告向人民法院提起代位权诉讼，未将债务人列为第三人的，人民法院可以追加债务人为第三人。</w:t>
      </w:r>
    </w:p>
    <w:p w14:paraId="5B06ABF3"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两个或者两个以上债权人以同一次债务人为被告提起代位权诉讼的，人民法院可以合并审理。</w:t>
      </w:r>
    </w:p>
    <w:p w14:paraId="29FF7F84"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lastRenderedPageBreak/>
        <w:t>第十七条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在代位权诉讼中，债权人请求人民法院对次债务人的财产采取保全措施的，应当提供相应的财产担保。</w:t>
      </w:r>
    </w:p>
    <w:p w14:paraId="49CBB68E"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第十八条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在代位权诉讼中，次债务人对债务人的抗辩，可以向债权人主张。</w:t>
      </w:r>
    </w:p>
    <w:p w14:paraId="272749FE"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债务人在代位权诉讼中对债权人的债权提出异议，经审查异议成立的，人民法院应当裁定驳回债权人的起诉。</w:t>
      </w:r>
    </w:p>
    <w:p w14:paraId="294E5809"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第十九条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在代位权诉讼中，债权人胜诉的，诉讼费由次债务人负担，从实现的债权中优先支付。</w:t>
      </w:r>
    </w:p>
    <w:p w14:paraId="3D94250A"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债权人向次债务人提起的诉讼经人民法院审理后认定代位</w:t>
      </w:r>
      <w:proofErr w:type="gramStart"/>
      <w:r w:rsidRPr="00A05713">
        <w:rPr>
          <w:rFonts w:ascii="Tahoma" w:eastAsia="宋体" w:hAnsi="Tahoma" w:cs="Tahoma"/>
          <w:color w:val="666666"/>
          <w:kern w:val="0"/>
          <w:sz w:val="24"/>
          <w:szCs w:val="24"/>
        </w:rPr>
        <w:t>权成立</w:t>
      </w:r>
      <w:proofErr w:type="gramEnd"/>
      <w:r w:rsidRPr="00A05713">
        <w:rPr>
          <w:rFonts w:ascii="Tahoma" w:eastAsia="宋体" w:hAnsi="Tahoma" w:cs="Tahoma"/>
          <w:color w:val="666666"/>
          <w:kern w:val="0"/>
          <w:sz w:val="24"/>
          <w:szCs w:val="24"/>
        </w:rPr>
        <w:t>的，由次债务人向债权人履行清偿义务，债权人与债务人、债务人与次债务人之间相应的债权债务关系即予消灭。</w:t>
      </w:r>
    </w:p>
    <w:p w14:paraId="775DCD51"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第二十一条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在代位权诉讼中，债权人行使代位权的请求数额超过债务人所负债务额或者超过次债务人对债务人所负债务额的，对超出部分人民法院不予支持。</w:t>
      </w:r>
    </w:p>
    <w:p w14:paraId="649A90B6"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第二十二条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债务人在代位权诉讼中，对超过债权人代位请求数额的债权部分起诉次债务人的，人民法院应当告知其向有管辖权的人民法院另行起诉。</w:t>
      </w:r>
    </w:p>
    <w:p w14:paraId="18AE92BA"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债务人的起诉符合法定条件的，人民法院应当受理</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受理债务人起诉的人民法院在代位权诉讼裁决发生法律效力以前，应当依法中止。</w:t>
      </w:r>
    </w:p>
    <w:p w14:paraId="7C3F9FAA"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lastRenderedPageBreak/>
        <w:t>五、撤销权</w:t>
      </w:r>
    </w:p>
    <w:p w14:paraId="2FDD4282"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第二十三条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债权人依照合同法第七十四条的规定提起撤销权诉讼的，由被告住所地人民法院管辖。</w:t>
      </w:r>
    </w:p>
    <w:p w14:paraId="564D318B"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第二十四条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债权人依照合同法第七十四条的规定提起撤销权诉讼时只以债务人为被告，未将受益人或者受让人列为第三人的，人民法院可以追加该受益人或者受让人为第三人。</w:t>
      </w:r>
    </w:p>
    <w:p w14:paraId="6A7283CD"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第二十五条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债权人依照合同法第七十四条提起撤销权诉讼，请求人民法院撤销债务人放弃债权或者转让财产的行为，人民法院应当就债权人主张的部分进行审理，依法撤销的，该行为自始无效。</w:t>
      </w:r>
    </w:p>
    <w:p w14:paraId="4637354D"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两个或者两个以上债权人以同一债务人为被告，就同一标的提起撤销权诉讼的，人民法院可以合并审理。</w:t>
      </w:r>
    </w:p>
    <w:p w14:paraId="4F049F0B"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第二十六条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债权人行使撤销权所支付的律师代理费、差旅费等必要费用，由债务人负担</w:t>
      </w:r>
      <w:r w:rsidRPr="00A05713">
        <w:rPr>
          <w:rFonts w:ascii="Tahoma" w:eastAsia="宋体" w:hAnsi="Tahoma" w:cs="Tahoma"/>
          <w:color w:val="666666"/>
          <w:kern w:val="0"/>
          <w:sz w:val="24"/>
          <w:szCs w:val="24"/>
        </w:rPr>
        <w:t>;</w:t>
      </w:r>
      <w:r w:rsidRPr="00A05713">
        <w:rPr>
          <w:rFonts w:ascii="Tahoma" w:eastAsia="宋体" w:hAnsi="Tahoma" w:cs="Tahoma"/>
          <w:color w:val="666666"/>
          <w:kern w:val="0"/>
          <w:sz w:val="24"/>
          <w:szCs w:val="24"/>
        </w:rPr>
        <w:t>第三人有过错的，应当适当分担。</w:t>
      </w:r>
    </w:p>
    <w:p w14:paraId="7F563B30"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六、合同转让中的第三人</w:t>
      </w:r>
    </w:p>
    <w:p w14:paraId="2A29AA9B"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第二十七条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债权人转让合同权利后，债务人与受让人之间因履行合同发生纠纷诉至人民法院，债务人对债权人的权利提出抗辩的，可以将债权人列为第三人。</w:t>
      </w:r>
    </w:p>
    <w:p w14:paraId="1B82D40D"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lastRenderedPageBreak/>
        <w:t>第二十八条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经债权人同意，债务人转移合同义务后，受让人与债权人之间因履行合同发生纠纷诉至人民法院，受让人就债务人对债权人的权利提出抗辩的，可以将债务人列为第三人。</w:t>
      </w:r>
    </w:p>
    <w:p w14:paraId="050DC51A"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第二十九条</w:t>
      </w:r>
      <w:r w:rsidRPr="00A05713">
        <w:rPr>
          <w:rFonts w:ascii="Tahoma" w:eastAsia="宋体" w:hAnsi="Tahoma" w:cs="Tahoma"/>
          <w:color w:val="666666"/>
          <w:kern w:val="0"/>
          <w:sz w:val="24"/>
          <w:szCs w:val="24"/>
        </w:rPr>
        <w:t> </w:t>
      </w:r>
      <w:hyperlink r:id="rId21" w:tgtFrame="_blank" w:tooltip="合同当事人" w:history="1">
        <w:r w:rsidRPr="00A05713">
          <w:rPr>
            <w:rFonts w:ascii="Tahoma" w:eastAsia="宋体" w:hAnsi="Tahoma" w:cs="Tahoma"/>
            <w:color w:val="333333"/>
            <w:kern w:val="0"/>
            <w:sz w:val="24"/>
            <w:szCs w:val="24"/>
            <w:u w:val="single"/>
          </w:rPr>
          <w:t>合同当事人</w:t>
        </w:r>
      </w:hyperlink>
      <w:r w:rsidRPr="00A05713">
        <w:rPr>
          <w:rFonts w:ascii="Tahoma" w:eastAsia="宋体" w:hAnsi="Tahoma" w:cs="Tahoma"/>
          <w:color w:val="666666"/>
          <w:kern w:val="0"/>
          <w:sz w:val="24"/>
          <w:szCs w:val="24"/>
        </w:rPr>
        <w:t>一方经对方同意将其在合同中的权利义务一并转让给受让人，对方与受让人因履行合同发生纠纷诉至人民法院，对方就合同权利义务提出抗辩的，可以将出让方列为第三人。</w:t>
      </w:r>
    </w:p>
    <w:p w14:paraId="7C4F29C5"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七、请求权竞合</w:t>
      </w:r>
    </w:p>
    <w:p w14:paraId="040254AB" w14:textId="77777777" w:rsidR="00A05713" w:rsidRPr="00A05713" w:rsidRDefault="00A05713" w:rsidP="00A05713">
      <w:pPr>
        <w:widowControl/>
        <w:spacing w:after="375" w:line="600" w:lineRule="atLeast"/>
        <w:ind w:firstLine="480"/>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第三十条</w:t>
      </w:r>
      <w:r w:rsidRPr="00A05713">
        <w:rPr>
          <w:rFonts w:ascii="Tahoma" w:eastAsia="宋体" w:hAnsi="Tahoma" w:cs="Tahoma"/>
          <w:color w:val="666666"/>
          <w:kern w:val="0"/>
          <w:sz w:val="24"/>
          <w:szCs w:val="24"/>
        </w:rPr>
        <w:t> </w:t>
      </w:r>
      <w:r w:rsidRPr="00A05713">
        <w:rPr>
          <w:rFonts w:ascii="Tahoma" w:eastAsia="宋体" w:hAnsi="Tahoma" w:cs="Tahoma"/>
          <w:color w:val="666666"/>
          <w:kern w:val="0"/>
          <w:sz w:val="24"/>
          <w:szCs w:val="24"/>
        </w:rPr>
        <w:t>债权人依照合同法第一百二十二条的规定向人民法院起诉时</w:t>
      </w:r>
      <w:proofErr w:type="gramStart"/>
      <w:r w:rsidRPr="00A05713">
        <w:rPr>
          <w:rFonts w:ascii="Tahoma" w:eastAsia="宋体" w:hAnsi="Tahoma" w:cs="Tahoma"/>
          <w:color w:val="666666"/>
          <w:kern w:val="0"/>
          <w:sz w:val="24"/>
          <w:szCs w:val="24"/>
        </w:rPr>
        <w:t>作出</w:t>
      </w:r>
      <w:proofErr w:type="gramEnd"/>
      <w:r w:rsidRPr="00A05713">
        <w:rPr>
          <w:rFonts w:ascii="Tahoma" w:eastAsia="宋体" w:hAnsi="Tahoma" w:cs="Tahoma"/>
          <w:color w:val="666666"/>
          <w:kern w:val="0"/>
          <w:sz w:val="24"/>
          <w:szCs w:val="24"/>
        </w:rPr>
        <w:t>选择后，在一审开庭以前又变更诉讼请求的，人民法院应当准许。对方当事人提出管辖权异议，经审查异议成立的，人民法院应当驳回起诉。</w:t>
      </w:r>
    </w:p>
    <w:p w14:paraId="6876DF63" w14:textId="77777777" w:rsidR="00A05713" w:rsidRPr="00A05713" w:rsidRDefault="00A05713" w:rsidP="00A05713">
      <w:pPr>
        <w:widowControl/>
        <w:spacing w:after="375" w:line="600" w:lineRule="atLeast"/>
        <w:jc w:val="left"/>
        <w:rPr>
          <w:rFonts w:ascii="Tahoma" w:eastAsia="宋体" w:hAnsi="Tahoma" w:cs="Tahoma"/>
          <w:color w:val="666666"/>
          <w:kern w:val="0"/>
          <w:sz w:val="24"/>
          <w:szCs w:val="24"/>
        </w:rPr>
      </w:pPr>
      <w:r w:rsidRPr="00A05713">
        <w:rPr>
          <w:rFonts w:ascii="Tahoma" w:eastAsia="宋体" w:hAnsi="Tahoma" w:cs="Tahoma"/>
          <w:b/>
          <w:bCs/>
          <w:color w:val="666666"/>
          <w:kern w:val="0"/>
          <w:sz w:val="24"/>
          <w:szCs w:val="24"/>
        </w:rPr>
        <w:t>备注：</w:t>
      </w:r>
    </w:p>
    <w:p w14:paraId="3364CCCE" w14:textId="77777777" w:rsidR="00A05713" w:rsidRPr="00A05713" w:rsidRDefault="00A05713" w:rsidP="00A05713">
      <w:pPr>
        <w:widowControl/>
        <w:spacing w:after="375" w:line="600" w:lineRule="atLeast"/>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本条例生效时间为：</w:t>
      </w:r>
      <w:r w:rsidRPr="00A05713">
        <w:rPr>
          <w:rFonts w:ascii="Tahoma" w:eastAsia="宋体" w:hAnsi="Tahoma" w:cs="Tahoma"/>
          <w:color w:val="666666"/>
          <w:kern w:val="0"/>
          <w:sz w:val="24"/>
          <w:szCs w:val="24"/>
        </w:rPr>
        <w:t>1999.12.19,</w:t>
      </w:r>
      <w:r w:rsidRPr="00A05713">
        <w:rPr>
          <w:rFonts w:ascii="Tahoma" w:eastAsia="宋体" w:hAnsi="Tahoma" w:cs="Tahoma"/>
          <w:color w:val="666666"/>
          <w:kern w:val="0"/>
          <w:sz w:val="24"/>
          <w:szCs w:val="24"/>
        </w:rPr>
        <w:t>截至</w:t>
      </w:r>
      <w:r w:rsidRPr="00A05713">
        <w:rPr>
          <w:rFonts w:ascii="Tahoma" w:eastAsia="宋体" w:hAnsi="Tahoma" w:cs="Tahoma"/>
          <w:color w:val="666666"/>
          <w:kern w:val="0"/>
          <w:sz w:val="24"/>
          <w:szCs w:val="24"/>
        </w:rPr>
        <w:t>2020</w:t>
      </w:r>
      <w:r w:rsidRPr="00A05713">
        <w:rPr>
          <w:rFonts w:ascii="Tahoma" w:eastAsia="宋体" w:hAnsi="Tahoma" w:cs="Tahoma"/>
          <w:color w:val="666666"/>
          <w:kern w:val="0"/>
          <w:sz w:val="24"/>
          <w:szCs w:val="24"/>
        </w:rPr>
        <w:t>年仍然有效</w:t>
      </w:r>
    </w:p>
    <w:p w14:paraId="3D11CDA2" w14:textId="77777777" w:rsidR="00A05713" w:rsidRPr="00A05713" w:rsidRDefault="00A05713" w:rsidP="00A05713">
      <w:pPr>
        <w:widowControl/>
        <w:spacing w:after="375" w:line="600" w:lineRule="atLeast"/>
        <w:jc w:val="left"/>
        <w:rPr>
          <w:rFonts w:ascii="Tahoma" w:eastAsia="宋体" w:hAnsi="Tahoma" w:cs="Tahoma"/>
          <w:color w:val="666666"/>
          <w:kern w:val="0"/>
          <w:sz w:val="24"/>
          <w:szCs w:val="24"/>
        </w:rPr>
      </w:pPr>
      <w:r w:rsidRPr="00A05713">
        <w:rPr>
          <w:rFonts w:ascii="Tahoma" w:eastAsia="宋体" w:hAnsi="Tahoma" w:cs="Tahoma"/>
          <w:color w:val="666666"/>
          <w:kern w:val="0"/>
          <w:sz w:val="24"/>
          <w:szCs w:val="24"/>
        </w:rPr>
        <w:t>最近更新：</w:t>
      </w:r>
      <w:r w:rsidRPr="00A05713">
        <w:rPr>
          <w:rFonts w:ascii="Tahoma" w:eastAsia="宋体" w:hAnsi="Tahoma" w:cs="Tahoma"/>
          <w:color w:val="666666"/>
          <w:kern w:val="0"/>
          <w:sz w:val="24"/>
          <w:szCs w:val="24"/>
        </w:rPr>
        <w:t>2019.04.15</w:t>
      </w:r>
    </w:p>
    <w:p w14:paraId="26B5A126" w14:textId="77777777" w:rsidR="000E3898" w:rsidRDefault="005C4E5D">
      <w:bookmarkStart w:id="0" w:name="_GoBack"/>
      <w:bookmarkEnd w:id="0"/>
    </w:p>
    <w:sectPr w:rsidR="000E3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90BF" w14:textId="77777777" w:rsidR="005C4E5D" w:rsidRDefault="005C4E5D" w:rsidP="00A05713">
      <w:r>
        <w:separator/>
      </w:r>
    </w:p>
  </w:endnote>
  <w:endnote w:type="continuationSeparator" w:id="0">
    <w:p w14:paraId="08FE3E27" w14:textId="77777777" w:rsidR="005C4E5D" w:rsidRDefault="005C4E5D" w:rsidP="00A0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857A1" w14:textId="77777777" w:rsidR="005C4E5D" w:rsidRDefault="005C4E5D" w:rsidP="00A05713">
      <w:r>
        <w:separator/>
      </w:r>
    </w:p>
  </w:footnote>
  <w:footnote w:type="continuationSeparator" w:id="0">
    <w:p w14:paraId="038AD6E6" w14:textId="77777777" w:rsidR="005C4E5D" w:rsidRDefault="005C4E5D" w:rsidP="00A05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8163C"/>
    <w:multiLevelType w:val="multilevel"/>
    <w:tmpl w:val="839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EE"/>
    <w:rsid w:val="001837AE"/>
    <w:rsid w:val="005C4E5D"/>
    <w:rsid w:val="00A05713"/>
    <w:rsid w:val="00A5094E"/>
    <w:rsid w:val="00F34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8E7239-E389-4FF4-808B-4B1D487E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57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5713"/>
    <w:rPr>
      <w:sz w:val="18"/>
      <w:szCs w:val="18"/>
    </w:rPr>
  </w:style>
  <w:style w:type="paragraph" w:styleId="a5">
    <w:name w:val="footer"/>
    <w:basedOn w:val="a"/>
    <w:link w:val="a6"/>
    <w:uiPriority w:val="99"/>
    <w:unhideWhenUsed/>
    <w:rsid w:val="00A05713"/>
    <w:pPr>
      <w:tabs>
        <w:tab w:val="center" w:pos="4153"/>
        <w:tab w:val="right" w:pos="8306"/>
      </w:tabs>
      <w:snapToGrid w:val="0"/>
      <w:jc w:val="left"/>
    </w:pPr>
    <w:rPr>
      <w:sz w:val="18"/>
      <w:szCs w:val="18"/>
    </w:rPr>
  </w:style>
  <w:style w:type="character" w:customStyle="1" w:styleId="a6">
    <w:name w:val="页脚 字符"/>
    <w:basedOn w:val="a0"/>
    <w:link w:val="a5"/>
    <w:uiPriority w:val="99"/>
    <w:rsid w:val="00A05713"/>
    <w:rPr>
      <w:sz w:val="18"/>
      <w:szCs w:val="18"/>
    </w:rPr>
  </w:style>
  <w:style w:type="character" w:customStyle="1" w:styleId="10">
    <w:name w:val="标题 1 字符"/>
    <w:basedOn w:val="a0"/>
    <w:link w:val="1"/>
    <w:uiPriority w:val="9"/>
    <w:rsid w:val="00A05713"/>
    <w:rPr>
      <w:rFonts w:ascii="宋体" w:eastAsia="宋体" w:hAnsi="宋体" w:cs="宋体"/>
      <w:b/>
      <w:bCs/>
      <w:kern w:val="36"/>
      <w:sz w:val="48"/>
      <w:szCs w:val="48"/>
    </w:rPr>
  </w:style>
  <w:style w:type="paragraph" w:styleId="a7">
    <w:name w:val="Normal (Web)"/>
    <w:basedOn w:val="a"/>
    <w:uiPriority w:val="99"/>
    <w:semiHidden/>
    <w:unhideWhenUsed/>
    <w:rsid w:val="00A0571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05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331149">
      <w:bodyDiv w:val="1"/>
      <w:marLeft w:val="0"/>
      <w:marRight w:val="0"/>
      <w:marTop w:val="0"/>
      <w:marBottom w:val="0"/>
      <w:divBdr>
        <w:top w:val="none" w:sz="0" w:space="0" w:color="auto"/>
        <w:left w:val="none" w:sz="0" w:space="0" w:color="auto"/>
        <w:bottom w:val="none" w:sz="0" w:space="0" w:color="auto"/>
        <w:right w:val="none" w:sz="0" w:space="0" w:color="auto"/>
      </w:divBdr>
      <w:divsChild>
        <w:div w:id="1049957996">
          <w:marLeft w:val="0"/>
          <w:marRight w:val="0"/>
          <w:marTop w:val="855"/>
          <w:marBottom w:val="0"/>
          <w:divBdr>
            <w:top w:val="none" w:sz="0" w:space="0" w:color="auto"/>
            <w:left w:val="none" w:sz="0" w:space="0" w:color="auto"/>
            <w:bottom w:val="none" w:sz="0" w:space="0" w:color="auto"/>
            <w:right w:val="none" w:sz="0" w:space="0" w:color="auto"/>
          </w:divBdr>
        </w:div>
        <w:div w:id="108549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tiaoli/4.aspx" TargetMode="External"/><Relationship Id="rId13" Type="http://schemas.openxmlformats.org/officeDocument/2006/relationships/hyperlink" Target="https://v.66law.cn/shuofa/hyjt/znfy/" TargetMode="External"/><Relationship Id="rId18" Type="http://schemas.openxmlformats.org/officeDocument/2006/relationships/hyperlink" Target="https://www.66law.cn/renshensunhai/" TargetMode="External"/><Relationship Id="rId3" Type="http://schemas.openxmlformats.org/officeDocument/2006/relationships/settings" Target="settings.xml"/><Relationship Id="rId21" Type="http://schemas.openxmlformats.org/officeDocument/2006/relationships/hyperlink" Target="https://www.66law.cn/laws/636723.aspx" TargetMode="External"/><Relationship Id="rId7" Type="http://schemas.openxmlformats.org/officeDocument/2006/relationships/hyperlink" Target="https://www.66law.cn/hetongjiufen/" TargetMode="External"/><Relationship Id="rId12" Type="http://schemas.openxmlformats.org/officeDocument/2006/relationships/hyperlink" Target="https://www.66law.cn/special/zqrhzwr/" TargetMode="External"/><Relationship Id="rId17" Type="http://schemas.openxmlformats.org/officeDocument/2006/relationships/hyperlink" Target="https://www.66law.cn/special/fuxujin/" TargetMode="External"/><Relationship Id="rId2" Type="http://schemas.openxmlformats.org/officeDocument/2006/relationships/styles" Target="styles.xml"/><Relationship Id="rId16" Type="http://schemas.openxmlformats.org/officeDocument/2006/relationships/hyperlink" Target="https://www.66law.cn/special/yanglj/" TargetMode="External"/><Relationship Id="rId20" Type="http://schemas.openxmlformats.org/officeDocument/2006/relationships/hyperlink" Target="https://www.66law.cn/tiaoli/1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66law.cn/special/zhaiquan/" TargetMode="External"/><Relationship Id="rId5" Type="http://schemas.openxmlformats.org/officeDocument/2006/relationships/footnotes" Target="footnotes.xml"/><Relationship Id="rId15" Type="http://schemas.openxmlformats.org/officeDocument/2006/relationships/hyperlink" Target="https://www.66law.cn/special/txj/" TargetMode="External"/><Relationship Id="rId23" Type="http://schemas.openxmlformats.org/officeDocument/2006/relationships/theme" Target="theme/theme1.xml"/><Relationship Id="rId10" Type="http://schemas.openxmlformats.org/officeDocument/2006/relationships/hyperlink" Target="https://www.66law.cn/laws/126059.aspx" TargetMode="External"/><Relationship Id="rId19" Type="http://schemas.openxmlformats.org/officeDocument/2006/relationships/hyperlink" Target="https://www.66law.cn/special/zc/" TargetMode="External"/><Relationship Id="rId4" Type="http://schemas.openxmlformats.org/officeDocument/2006/relationships/webSettings" Target="webSettings.xml"/><Relationship Id="rId9" Type="http://schemas.openxmlformats.org/officeDocument/2006/relationships/hyperlink" Target="https://www.66law.cn/special/fayuan/" TargetMode="External"/><Relationship Id="rId14" Type="http://schemas.openxmlformats.org/officeDocument/2006/relationships/hyperlink" Target="https://www.66law.cn/laws/hunyinjiating/jiehun/fuya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2020-04-12T08:36:00Z</dcterms:created>
  <dcterms:modified xsi:type="dcterms:W3CDTF">2020-04-12T08:36:00Z</dcterms:modified>
</cp:coreProperties>
</file>