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全生命周期质量追溯分析报告</w:t>
      </w:r>
    </w:p>
    <w:p>
      <w:pPr>
        <w:pStyle w:val="Heading1"/>
      </w:pPr>
      <w:r>
        <w:t>1. 报告基本信息</w:t>
      </w:r>
    </w:p>
    <w:p>
      <w:r>
        <w:t>domain：bearing；case_id：BFB-01676；feedback_id：BFB-01676；report_time：2026-06-07 20:25:55；model_name：TransH；top_k：6。</w:t>
      </w:r>
    </w:p>
    <w:p>
      <w:pPr>
        <w:pStyle w:val="Heading1"/>
      </w:pPr>
      <w:r>
        <w:t>2. 质量反馈概述</w:t>
      </w:r>
    </w:p>
    <w:p>
      <w:r>
        <w:t>故障类型：rolling_element_fault；故障位置：rolling_element；严重程度：severe；目标对象：BRG-01676（BRG-01676）。</w:t>
      </w:r>
    </w:p>
    <w:p>
      <w:pPr>
        <w:pStyle w:val="Heading1"/>
      </w:pPr>
      <w:r>
        <w:t>3. 上游诊断/RCA结果</w:t>
      </w:r>
    </w:p>
    <w:p>
      <w:r>
        <w:t>RCA文本：该样本的生命周期风险在制造阶段较突出，能够解释当前严重滚动体故障的主要失效模式。 故障演化文本：早期表现为局部接触应力升高，随后振动冲击增强，最终演化为严重滚动体故障。</w:t>
      </w:r>
    </w:p>
    <w:p>
      <w:pPr>
        <w:pStyle w:val="Heading1"/>
      </w:pPr>
      <w:r>
        <w:t>4. 图谱概述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nodes</w:t>
            </w:r>
          </w:p>
        </w:tc>
        <w:tc>
          <w:tcPr>
            <w:tcW w:type="dxa" w:w="1728"/>
          </w:tcPr>
          <w:p>
            <w:r>
              <w:t>edges</w:t>
            </w:r>
          </w:p>
        </w:tc>
        <w:tc>
          <w:tcPr>
            <w:tcW w:type="dxa" w:w="1728"/>
          </w:tcPr>
          <w:p>
            <w:r>
              <w:t>added_nodes</w:t>
            </w:r>
          </w:p>
        </w:tc>
        <w:tc>
          <w:tcPr>
            <w:tcW w:type="dxa" w:w="1728"/>
          </w:tcPr>
          <w:p>
            <w:r>
              <w:t>added_edges</w:t>
            </w:r>
          </w:p>
        </w:tc>
      </w:tr>
      <w:tr>
        <w:tc>
          <w:tcPr>
            <w:tcW w:type="dxa" w:w="1728"/>
          </w:tcPr>
          <w:p>
            <w:r>
              <w:t>original_graph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fault_enhanced_graph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</w:tbl>
    <w:p>
      <w:pPr>
        <w:pStyle w:val="Heading1"/>
      </w:pPr>
      <w:r>
        <w:t>5. TransH Top6疑似原因分析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candidate_id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final</w:t>
            </w:r>
          </w:p>
        </w:tc>
        <w:tc>
          <w:tcPr>
            <w:tcW w:type="dxa" w:w="1234"/>
          </w:tcPr>
          <w:p>
            <w:r>
              <w:t>transh</w:t>
            </w:r>
          </w:p>
        </w:tc>
        <w:tc>
          <w:tcPr>
            <w:tcW w:type="dxa" w:w="1234"/>
          </w:tcPr>
          <w:p>
            <w:r>
              <w:t>scope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BMAN-00147</w:t>
            </w:r>
          </w:p>
        </w:tc>
        <w:tc>
          <w:tcPr>
            <w:tcW w:type="dxa" w:w="1234"/>
          </w:tcPr>
          <w:p>
            <w:r>
              <w:t>ManufacturingBatch</w:t>
            </w:r>
          </w:p>
        </w:tc>
        <w:tc>
          <w:tcPr>
            <w:tcW w:type="dxa" w:w="1234"/>
          </w:tcPr>
          <w:p>
            <w:r>
              <w:t>制造阶段</w:t>
            </w:r>
          </w:p>
        </w:tc>
        <w:tc>
          <w:tcPr>
            <w:tcW w:type="dxa" w:w="1234"/>
          </w:tcPr>
          <w:p>
            <w:r>
              <w:t>0.8515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BMAT-00431</w:t>
            </w:r>
          </w:p>
        </w:tc>
        <w:tc>
          <w:tcPr>
            <w:tcW w:type="dxa" w:w="1234"/>
          </w:tcPr>
          <w:p>
            <w:r>
              <w:t>MaterialBatch</w:t>
            </w:r>
          </w:p>
        </w:tc>
        <w:tc>
          <w:tcPr>
            <w:tcW w:type="dxa" w:w="1234"/>
          </w:tcPr>
          <w:p>
            <w:r>
              <w:t>材料阶段</w:t>
            </w:r>
          </w:p>
        </w:tc>
        <w:tc>
          <w:tcPr>
            <w:tcW w:type="dxa" w:w="1234"/>
          </w:tcPr>
          <w:p>
            <w:r>
              <w:t>0.648658</w:t>
            </w:r>
          </w:p>
        </w:tc>
        <w:tc>
          <w:tcPr>
            <w:tcW w:type="dxa" w:w="1234"/>
          </w:tcPr>
          <w:p>
            <w:r>
              <w:t>0.606315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BOPR-01676</w:t>
            </w:r>
          </w:p>
        </w:tc>
        <w:tc>
          <w:tcPr>
            <w:tcW w:type="dxa" w:w="1234"/>
          </w:tcPr>
          <w:p>
            <w:r>
              <w:t>MaintenanceRecord</w:t>
            </w:r>
          </w:p>
        </w:tc>
        <w:tc>
          <w:tcPr>
            <w:tcW w:type="dxa" w:w="1234"/>
          </w:tcPr>
          <w:p>
            <w:r>
              <w:t>使用/运维阶段</w:t>
            </w:r>
          </w:p>
        </w:tc>
        <w:tc>
          <w:tcPr>
            <w:tcW w:type="dxa" w:w="1234"/>
          </w:tcPr>
          <w:p>
            <w:r>
              <w:t>0.607995</w:t>
            </w:r>
          </w:p>
        </w:tc>
        <w:tc>
          <w:tcPr>
            <w:tcW w:type="dxa" w:w="1234"/>
          </w:tcPr>
          <w:p>
            <w:r>
              <w:t>0.54899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BASM-01676</w:t>
            </w:r>
          </w:p>
        </w:tc>
        <w:tc>
          <w:tcPr>
            <w:tcW w:type="dxa" w:w="1234"/>
          </w:tcPr>
          <w:p>
            <w:r>
              <w:t>AssemblyRecord</w:t>
            </w:r>
          </w:p>
        </w:tc>
        <w:tc>
          <w:tcPr>
            <w:tcW w:type="dxa" w:w="1234"/>
          </w:tcPr>
          <w:p>
            <w:r>
              <w:t>装配阶段</w:t>
            </w:r>
          </w:p>
        </w:tc>
        <w:tc>
          <w:tcPr>
            <w:tcW w:type="dxa" w:w="1234"/>
          </w:tcPr>
          <w:p>
            <w:r>
              <w:t>0.604428</w:t>
            </w:r>
          </w:p>
        </w:tc>
        <w:tc>
          <w:tcPr>
            <w:tcW w:type="dxa" w:w="1234"/>
          </w:tcPr>
          <w:p>
            <w:r>
              <w:t>0.541856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BDES-00227</w:t>
            </w:r>
          </w:p>
        </w:tc>
        <w:tc>
          <w:tcPr>
            <w:tcW w:type="dxa" w:w="1234"/>
          </w:tcPr>
          <w:p>
            <w:r>
              <w:t>BearingDesignSpec</w:t>
            </w:r>
          </w:p>
        </w:tc>
        <w:tc>
          <w:tcPr>
            <w:tcW w:type="dxa" w:w="1234"/>
          </w:tcPr>
          <w:p>
            <w:r>
              <w:t>设计阶段</w:t>
            </w:r>
          </w:p>
        </w:tc>
        <w:tc>
          <w:tcPr>
            <w:tcW w:type="dxa" w:w="1234"/>
          </w:tcPr>
          <w:p>
            <w:r>
              <w:t>0.542853</w:t>
            </w:r>
          </w:p>
        </w:tc>
        <w:tc>
          <w:tcPr>
            <w:tcW w:type="dxa" w:w="1234"/>
          </w:tcPr>
          <w:p>
            <w:r>
              <w:t>0.430706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BINSP-01676</w:t>
            </w:r>
          </w:p>
        </w:tc>
        <w:tc>
          <w:tcPr>
            <w:tcW w:type="dxa" w:w="1234"/>
          </w:tcPr>
          <w:p>
            <w:r>
              <w:t>InspectionRecord</w:t>
            </w:r>
          </w:p>
        </w:tc>
        <w:tc>
          <w:tcPr>
            <w:tcW w:type="dxa" w:w="1234"/>
          </w:tcPr>
          <w:p>
            <w:r>
              <w:t>检测阶段</w:t>
            </w:r>
          </w:p>
        </w:tc>
        <w:tc>
          <w:tcPr>
            <w:tcW w:type="dxa" w:w="1234"/>
          </w:tcPr>
          <w:p>
            <w:r>
              <w:t>0.532215</w:t>
            </w:r>
          </w:p>
        </w:tc>
        <w:tc>
          <w:tcPr>
            <w:tcW w:type="dxa" w:w="1234"/>
          </w:tcPr>
          <w:p>
            <w:r>
              <w:t>0.409431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</w:tbl>
    <w:p>
      <w:pPr>
        <w:pStyle w:val="Heading1"/>
      </w:pPr>
      <w:r>
        <w:t>6. 生命周期阶段归因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stage_name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制造阶段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材料阶段</w:t>
            </w:r>
          </w:p>
        </w:tc>
        <w:tc>
          <w:tcPr>
            <w:tcW w:type="dxa" w:w="2880"/>
          </w:tcPr>
          <w:p>
            <w:r>
              <w:t>0.696467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使用/运维阶段</w:t>
            </w:r>
          </w:p>
        </w:tc>
        <w:tc>
          <w:tcPr>
            <w:tcW w:type="dxa" w:w="2880"/>
          </w:tcPr>
          <w:p>
            <w:r>
              <w:t>0.587883</w:t>
            </w:r>
          </w:p>
        </w:tc>
      </w:tr>
      <w:tr>
        <w:tc>
          <w:tcPr>
            <w:tcW w:type="dxa" w:w="2880"/>
          </w:tcPr>
          <w:p>
            <w:r>
              <w:t>assembly</w:t>
            </w:r>
          </w:p>
        </w:tc>
        <w:tc>
          <w:tcPr>
            <w:tcW w:type="dxa" w:w="2880"/>
          </w:tcPr>
          <w:p>
            <w:r>
              <w:t>装配阶段</w:t>
            </w:r>
          </w:p>
        </w:tc>
        <w:tc>
          <w:tcPr>
            <w:tcW w:type="dxa" w:w="2880"/>
          </w:tcPr>
          <w:p>
            <w:r>
              <w:t>0.501577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设计阶段</w:t>
            </w:r>
          </w:p>
        </w:tc>
        <w:tc>
          <w:tcPr>
            <w:tcW w:type="dxa" w:w="2880"/>
          </w:tcPr>
          <w:p>
            <w:r>
              <w:t>0.370898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检测阶段</w:t>
            </w:r>
          </w:p>
        </w:tc>
        <w:tc>
          <w:tcPr>
            <w:tcW w:type="dxa" w:w="2880"/>
          </w:tcPr>
          <w:p>
            <w:r>
              <w:t>0.337578</w:t>
            </w:r>
          </w:p>
        </w:tc>
      </w:tr>
    </w:tbl>
    <w:p>
      <w:r>
        <w:t>制造阶段得分最高，主要因为 Top6 中 BMAN-00147 聚集在该阶段，且综合分数、路径分数或证据分数较高。</w:t>
      </w:r>
    </w:p>
    <w:p>
      <w:pPr>
        <w:pStyle w:val="Heading2"/>
      </w:pPr>
      <w:r>
        <w:t>重点关注阶段 Top3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stage_name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feedback_subsystem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制造阶段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制造工艺子系统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材料阶段</w:t>
            </w:r>
          </w:p>
        </w:tc>
        <w:tc>
          <w:tcPr>
            <w:tcW w:type="dxa" w:w="1728"/>
          </w:tcPr>
          <w:p>
            <w:r>
              <w:t>0.696467</w:t>
            </w:r>
          </w:p>
        </w:tc>
        <w:tc>
          <w:tcPr>
            <w:tcW w:type="dxa" w:w="1728"/>
          </w:tcPr>
          <w:p>
            <w:r>
              <w:t>材料/供应商管理子系统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使用/运维阶段</w:t>
            </w:r>
          </w:p>
        </w:tc>
        <w:tc>
          <w:tcPr>
            <w:tcW w:type="dxa" w:w="1728"/>
          </w:tcPr>
          <w:p>
            <w:r>
              <w:t>0.587883</w:t>
            </w:r>
          </w:p>
        </w:tc>
        <w:tc>
          <w:tcPr>
            <w:tcW w:type="dxa" w:w="1728"/>
          </w:tcPr>
          <w:p>
            <w:r>
              <w:t>运维保障子系统</w:t>
            </w:r>
          </w:p>
        </w:tc>
      </w:tr>
    </w:tbl>
    <w:p>
      <w:pPr>
        <w:pStyle w:val="Heading1"/>
      </w:pPr>
      <w:r>
        <w:t>7. 关键证据链</w:t>
      </w:r>
    </w:p>
    <w:p>
      <w:r>
        <w:t>BFB-01676 -&gt; occurs_on -&gt; BRG-01676：质量反馈首先定位到发生故障的目标对象。</w:t>
      </w:r>
    </w:p>
    <w:p>
      <w:r>
        <w:t>BRG-01676 -&gt; manufactured_in -&gt; BMAN-00147：候选 BMAN-00147 位于目标对象生命周期链或其关键扩展路径上，path_score=1.0。</w:t>
      </w:r>
    </w:p>
    <w:p>
      <w:r>
        <w:t>BRG-01676 -&gt; uses_material_batch -&gt; BMAT-00431：候选 BMAT-00431 位于目标对象生命周期链或其关键扩展路径上，path_score=1.0。</w:t>
      </w:r>
    </w:p>
    <w:p>
      <w:r>
        <w:t>BFB-01676 -&gt; may_caused_by -&gt; BMAN-00147：TransH 综合重排序将 BMAN-00147 排为 Top1，final_score=0.8515。</w:t>
      </w:r>
    </w:p>
    <w:p>
      <w:pPr>
        <w:pStyle w:val="Heading1"/>
      </w:pPr>
      <w:r>
        <w:t>8. 子系统反馈建议</w:t>
      </w:r>
    </w:p>
    <w:p>
      <w:r>
        <w:t>首要反馈子系统：制造工艺子系统</w:t>
      </w:r>
    </w:p>
    <w:p>
      <w:r>
        <w:t>重点反馈子系统 Top3：制造工艺子系统、材料/供应商管理子系统、运维保障子系统</w:t>
      </w:r>
    </w:p>
    <w:p>
      <w:r>
        <w:t>建议反馈制造工艺子系统，复核加工误差、表面粗糙度、洁净度、热处理或磨削过程。</w:t>
      </w:r>
    </w:p>
    <w:p>
      <w:pPr>
        <w:pStyle w:val="Heading1"/>
      </w:pPr>
      <w:r>
        <w:t>9. 追溯结论</w:t>
      </w:r>
    </w:p>
    <w:p>
      <w:r>
        <w:t>本次追溯的首要疑似原因是 BMAN-00147（ManufacturingBatch），首要疑似阶段为制造阶段。主要证据包括生命周期路径、TransH 评分、RCA/证据匹配以及规则先验，其中 TransH 综合重排序将 BMAN-00147 排为 Top1，final_score=0.8515。当前报告未发现明确跨部件传播描述，仍建议结合现场记录复核跨阶段影响。 建议优先由制造工艺子系统牵头处置，并联动相关生命周期环节复核。除首要疑似生命周期阶段外，系统同时给出重点关注阶段 Top3，用于支持跨阶段联合复核。建议优先反馈至制造工艺子系统，并联合材料/供应商管理子系统、运维保障子系统进行辅助复核。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