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泰康人寿客服智能体模拟知识库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 w:val="0"/>
          <w:color w:val="666666"/>
          <w:sz w:val="20"/>
        </w:rPr>
        <w:t>建议按 KB 条目逐条导入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line="252" w:lineRule="auto" w:after="20"/>
            </w:pPr>
            <w:r/>
            <w:r>
              <w:rPr>
                <w:rFonts w:ascii="Noto Sans CJK SC" w:hAnsi="Noto Sans CJK SC" w:eastAsia="Noto Sans CJK SC"/>
                <w:b w:val="0"/>
                <w:color w:val="111111"/>
                <w:sz w:val="20"/>
              </w:rPr>
              <w:t>说明：以下为模拟知识库，便于课堂演示和智能体测试。正式上线前请替换为泰康人寿正式条款、理赔规则、保全规则和客服制度。</w:t>
            </w:r>
          </w:p>
        </w:tc>
      </w:tr>
    </w:tbl>
    <w:p/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KB-01｜服务边界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111111"/>
          <w:sz w:val="21"/>
        </w:rPr>
        <w:t>智能体只回答通用咨询和办理路径，不直接查询或办理客户个人保单。涉及具体保单、金额、账户、进度、受益人和投诉争议的问题，应转人工或官方渠道。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KB-02｜保单查询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111111"/>
          <w:sz w:val="21"/>
        </w:rPr>
        <w:t>客户可通过泰康人寿官方 App、官方微信公众号、官网客户服务入口、客服电话或线下服务网点查询保单状态、电子保单、缴费记录和保障内容。智能体不能直接查询个人保单。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KB-03｜续期缴费与宽限期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111111"/>
          <w:sz w:val="21"/>
        </w:rPr>
        <w:t>续期缴费是按合同约定继续缴纳保费。宽限期是缴费到期后的补缴缓冲期，是否仍享有保障、宽限期多久、逾期后如何处理，均以保险合同和系统记录为准。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KB-04｜复效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111111"/>
          <w:sz w:val="21"/>
        </w:rPr>
        <w:t>保单效力中止后，客户可按合同约定申请复效。复效通常需要补缴欠费，并可能涉及健康告知或审核。是否可以复效，以合同约定和公司审核为准。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KB-05｜理赔申请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111111"/>
          <w:sz w:val="21"/>
        </w:rPr>
        <w:t>理赔通常需要提交理赔申请书、身份证明、银行卡信息、诊断证明、病历、检查报告、费用票据、出险证明等材料。不同险种、不同事故所需材料不同。是否赔付以理赔审核结果为准。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KB-06｜身故与重疾理赔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111111"/>
          <w:sz w:val="21"/>
        </w:rPr>
        <w:t>身故理赔常见材料包括死亡证明、户籍注销证明、受益人身份证明、关系证明等。重疾理赔常见材料包括诊断证明、病历、检查检验报告、病理报告等。敏感材料应通过官方渠道提交。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KB-07｜现金价值与退保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111111"/>
          <w:sz w:val="21"/>
        </w:rPr>
        <w:t>现金价值不等于已交保费。犹豫期内退保和犹豫期后退保规则不同。犹豫期后退保通常按现金价值计算，可能低于已交保费，并会导致保障终止。具体金额需官方渠道测算。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KB-08｜保全变更与投诉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111111"/>
          <w:sz w:val="21"/>
        </w:rPr>
        <w:t>联系方式变更、受益人变更、投保人变更、保单贷款等属于保全业务，通常需要身份核验。客户如对销售、服务、理赔、退保有异议，应先安抚并转人工登记处理。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>模拟材料，正式使用前需替换为公司正式条款和客服制度。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6"/>
      </w:rPr>
      <w:t>泰康人寿客服智能体｜模拟材料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