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日丰业务场景 IPO 模板</w:t>
      </w:r>
    </w:p>
    <w:p>
      <w:pPr>
        <w:jc w:val="center"/>
      </w:pPr>
      <w:r>
        <w:rPr>
          <w:b/>
        </w:rPr>
        <w:t>质量异常闭环样例  用于课前梳理与课堂实操</w:t>
      </w:r>
    </w:p>
    <w:p>
      <w:r>
        <w:t>这份文档用于帮助日丰学员把一个真实工作任务说清楚。IPO 指 Input 输入、Process 处理、Output 输出，不是首次公开发行。下方以“管材质量异常闭环”为教学样例；请保留结构，把内容整体换成你的业务。</w:t>
      </w:r>
    </w:p>
    <w:p>
      <w:pPr>
        <w:pStyle w:val="Heading1"/>
      </w:pPr>
      <w:r>
        <w:t>一 场景基本信息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917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填写内容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场景名称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管材质量异常闭环</w:t>
            </w:r>
          </w:p>
        </w:tc>
      </w:tr>
      <w:tr>
        <w:tc>
          <w:tcPr>
            <w:tcW w:type="dxa" w:w="2381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适用部门</w:t>
            </w:r>
          </w:p>
        </w:tc>
        <w:tc>
          <w:tcPr>
            <w:tcW w:type="dxa" w:w="6917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质量、制造、技术、仓储、销售服务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业务问题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异常资料分散，同类问题检索慢，责任与纠正措施的状态难追踪。</w:t>
            </w:r>
          </w:p>
        </w:tc>
      </w:tr>
      <w:tr>
        <w:tc>
          <w:tcPr>
            <w:tcW w:type="dxa" w:w="2381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目标用户</w:t>
            </w:r>
          </w:p>
        </w:tc>
        <w:tc>
          <w:tcPr>
            <w:tcW w:type="dxa" w:w="6917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质量工程师、车间主管、工艺工程师、售后人员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预期改善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先把信息补齐和分类，再辅助生成处理建议与闭环清单；最终结论由责任人确认。</w:t>
            </w:r>
          </w:p>
        </w:tc>
      </w:tr>
    </w:tbl>
    <w:p/>
    <w:p>
      <w:pPr>
        <w:pStyle w:val="Heading1"/>
      </w:pPr>
      <w:r>
        <w:t>二 I 输入定义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输入资料</w:t>
            </w:r>
          </w:p>
        </w:tc>
        <w:tc>
          <w:tcPr>
            <w:tcW w:type="dxa" w:w="4082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主要字段</w:t>
            </w:r>
          </w:p>
        </w:tc>
        <w:tc>
          <w:tcPr>
            <w:tcW w:type="dxa" w:w="3288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来源与边界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异常报告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产品系列、规格、批次、工序、现象、数量、时间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使用模拟或已获准的脱敏资料</w:t>
            </w:r>
          </w:p>
        </w:tc>
      </w:tr>
      <w:tr>
        <w:tc>
          <w:tcPr>
            <w:tcW w:type="dxa" w:w="1928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检验记录</w:t>
            </w:r>
          </w:p>
        </w:tc>
        <w:tc>
          <w:tcPr>
            <w:tcW w:type="dxa" w:w="4082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尺寸、外观、性能值、检验结论、检验人</w:t>
            </w:r>
          </w:p>
        </w:tc>
        <w:tc>
          <w:tcPr>
            <w:tcW w:type="dxa" w:w="3288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不放入未授权的生产批次或客户信息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过程参数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设备、模具、原料批次、温度、速度、操作班组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敏感工艺参数可用区间或代号替代</w:t>
            </w:r>
          </w:p>
        </w:tc>
      </w:tr>
      <w:tr>
        <w:tc>
          <w:tcPr>
            <w:tcW w:type="dxa" w:w="1928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历史案例</w:t>
            </w:r>
          </w:p>
        </w:tc>
        <w:tc>
          <w:tcPr>
            <w:tcW w:type="dxa" w:w="4082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问题类型、原因、措施、复验结果</w:t>
            </w:r>
          </w:p>
        </w:tc>
        <w:tc>
          <w:tcPr>
            <w:tcW w:type="dxa" w:w="3288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只选可用于课前练习的内容</w:t>
            </w:r>
          </w:p>
        </w:tc>
      </w:tr>
    </w:tbl>
    <w:p/>
    <w:p>
      <w:pPr>
        <w:pStyle w:val="Heading1"/>
      </w:pPr>
      <w:r>
        <w:t>三 P 处理流程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5386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处理动作</w:t>
            </w:r>
          </w:p>
        </w:tc>
        <w:tc>
          <w:tcPr>
            <w:tcW w:type="dxa" w:w="3061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人工确认点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读取资料，检查关键字段是否齐全，将缺失项列为待确认。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质量工程师确认问题描述</w:t>
            </w:r>
          </w:p>
        </w:tc>
      </w:tr>
      <w:tr>
        <w:tc>
          <w:tcPr>
            <w:tcW w:type="dxa" w:w="850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2</w:t>
            </w:r>
          </w:p>
        </w:tc>
        <w:tc>
          <w:tcPr>
            <w:tcW w:type="dxa" w:w="5386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按产品、工序、现象和影响范围分类，检索相似历史案例。</w:t>
            </w:r>
          </w:p>
        </w:tc>
        <w:tc>
          <w:tcPr>
            <w:tcW w:type="dxa" w:w="3061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不将相似案例直接当成本次原因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按人、机、料、法、环、测归类可能原因，并区分已验证事实与待验证假设。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工艺、制造与质量共同确认</w:t>
            </w:r>
          </w:p>
        </w:tc>
      </w:tr>
      <w:tr>
        <w:tc>
          <w:tcPr>
            <w:tcW w:type="dxa" w:w="850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4</w:t>
            </w:r>
          </w:p>
        </w:tc>
        <w:tc>
          <w:tcPr>
            <w:tcW w:type="dxa" w:w="5386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形成临时措施、根因验证、纠正措施、预防措施和责任时限。</w:t>
            </w:r>
          </w:p>
        </w:tc>
        <w:tc>
          <w:tcPr>
            <w:tcW w:type="dxa" w:w="3061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每项措施必须有责任人与验收标准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跟踪状态，复验处理效果，关闭或退回补充。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未经复验不标记为已闭环</w:t>
            </w:r>
          </w:p>
        </w:tc>
      </w:tr>
    </w:tbl>
    <w:p/>
    <w:p>
      <w:pPr>
        <w:pStyle w:val="Heading1"/>
      </w:pPr>
      <w:r>
        <w:t>四 核心业务规则</w:t>
      </w:r>
    </w:p>
    <w:p>
      <w:pPr>
        <w:pStyle w:val="ListBullet"/>
      </w:pPr>
      <w:r>
        <w:t>产品、批次、规格、数量或影响范围不明确时，不给出确定性根因。</w:t>
      </w:r>
    </w:p>
    <w:p>
      <w:pPr>
        <w:pStyle w:val="ListBullet"/>
      </w:pPr>
      <w:r>
        <w:t>AI 提出的原因只能标记为建议或待验证，不得写成已确认事实。</w:t>
      </w:r>
    </w:p>
    <w:p>
      <w:pPr>
        <w:pStyle w:val="ListBullet"/>
      </w:pPr>
      <w:r>
        <w:t>涉及客户、供应商、未公开配方、工艺参数或内部质量数据时，必须先确认可用范围。</w:t>
      </w:r>
    </w:p>
    <w:p>
      <w:pPr>
        <w:pStyle w:val="ListBullet"/>
      </w:pPr>
      <w:r>
        <w:t>处置结论、责任判定和关闭决定由对应责任人完成，AI 不代替审核。</w:t>
      </w:r>
    </w:p>
    <w:p>
      <w:pPr>
        <w:pStyle w:val="Heading1"/>
      </w:pPr>
      <w:r>
        <w:t>五 O 输出定义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5499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28"/>
            <w:vAlign w:val="center"/>
            <w:shd w:fill="215888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使用者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异常信息卡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基础信息、缺失项、影响范围和当前状态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质量、制造</w:t>
            </w:r>
          </w:p>
        </w:tc>
      </w:tr>
      <w:tr>
        <w:tc>
          <w:tcPr>
            <w:tcW w:type="dxa" w:w="1871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原因分析表</w:t>
            </w:r>
          </w:p>
        </w:tc>
        <w:tc>
          <w:tcPr>
            <w:tcW w:type="dxa" w:w="5499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已知事实、待验证假设、验证方法和证据来源</w:t>
            </w:r>
          </w:p>
        </w:tc>
        <w:tc>
          <w:tcPr>
            <w:tcW w:type="dxa" w:w="1928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质量、工艺、技术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闭环任务清单</w:t>
            </w:r>
          </w:p>
        </w:tc>
        <w:tc>
          <w:tcPr>
            <w:tcW w:type="dxa" w:w="5499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措施、责任人、计划完成时间、复验结果与状态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责任部门、管理者</w:t>
            </w:r>
          </w:p>
        </w:tc>
      </w:tr>
      <w:tr>
        <w:tc>
          <w:tcPr>
            <w:tcW w:type="dxa" w:w="1871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复盘摘要</w:t>
            </w:r>
          </w:p>
        </w:tc>
        <w:tc>
          <w:tcPr>
            <w:tcW w:type="dxa" w:w="5499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问题特征、根因、有效措施、可复用经验和预防要点</w:t>
            </w:r>
          </w:p>
        </w:tc>
        <w:tc>
          <w:tcPr>
            <w:tcW w:type="dxa" w:w="1928"/>
            <w:vAlign w:val="center"/>
            <w:shd w:fill="EEF5FB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相关团队</w:t>
            </w:r>
          </w:p>
        </w:tc>
      </w:tr>
    </w:tbl>
    <w:p/>
    <w:p>
      <w:pPr>
        <w:pStyle w:val="Heading1"/>
      </w:pPr>
      <w:r>
        <w:t>六 验收标准</w:t>
      </w:r>
    </w:p>
    <w:p>
      <w:r>
        <w:t>☐ 一眼能看出问题对象、现象、影响范围与当前状态。</w:t>
      </w:r>
    </w:p>
    <w:p>
      <w:r>
        <w:t>☐ 已验证事实、待验证假设和 AI 建议有清晰标记。</w:t>
      </w:r>
    </w:p>
    <w:p>
      <w:r>
        <w:t>☐ 每一项措施都有责任人、时限和可检查的验收方式。</w:t>
      </w:r>
    </w:p>
    <w:p>
      <w:r>
        <w:t>☐ 未经人工复验的问题不显示为已闭环。</w:t>
      </w:r>
    </w:p>
    <w:p>
      <w:r>
        <w:t>☐ 公开、模拟和已授权数据边界清晰，不含不可外发信息。</w:t>
      </w:r>
    </w:p>
    <w:p>
      <w:pPr>
        <w:pStyle w:val="Heading1"/>
      </w:pPr>
      <w:r>
        <w:t>七 换成你的场景</w:t>
      </w:r>
    </w:p>
    <w:p>
      <w:r>
        <w:t>可选场景包括但不限于：经销商订单协同、工程项目跟进、管材生产排程、设备维护、原材料来料检验、产品质量追溯、客诉处理、仓储配送、门店或渠道运营。先选一个你熟悉的具体任务，用语音把输入、步骤、判断规则、异常和输出说清楚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