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120"/>
        <w:jc w:val="center"/>
        <w:pBdr>
          <w:bottom w:val="single" w:sz="12" w:space="2" w:color="1F3A5F"/>
        </w:pBdr>
      </w:pPr>
      <w:r>
        <w:rPr>
          <w:rFonts w:ascii="Microsoft YaHei" w:hAnsi="Microsoft YaHei" w:eastAsia="Microsoft YaHei"/>
          <w:b/>
          <w:i w:val="0"/>
          <w:color w:val="1F3A5F"/>
          <w:sz w:val="36"/>
        </w:rPr>
        <w:t>XXAI原生组织 年度战略解码与硬仗管理方案</w:t>
      </w:r>
    </w:p>
    <w:p>
      <w:pPr>
        <w:spacing w:line="360" w:lineRule="auto" w:before="0" w:after="40"/>
        <w:jc w:val="center"/>
      </w:pPr>
      <w:r>
        <w:rPr>
          <w:rFonts w:ascii="Microsoft YaHei" w:hAnsi="Microsoft YaHei" w:eastAsia="Microsoft YaHei"/>
          <w:b/>
          <w:i w:val="0"/>
          <w:color w:val="C0392B"/>
          <w:sz w:val="26"/>
        </w:rPr>
        <w:t>XXAI原生组织　·　事维度 · 把"想干什么"翻译成"该干什么"</w:t>
      </w:r>
    </w:p>
    <w:p>
      <w:pPr>
        <w:spacing w:line="360" w:lineRule="auto" w:before="0" w:after="240"/>
        <w:jc w:val="center"/>
      </w:pPr>
      <w:r>
        <w:rPr>
          <w:rFonts w:ascii="Microsoft YaHei" w:hAnsi="Microsoft YaHei" w:eastAsia="Microsoft YaHei"/>
          <w:b w:val="0"/>
          <w:i w:val="0"/>
          <w:color w:val="595959"/>
          <w:sz w:val="21"/>
        </w:rPr>
        <w:t>模板依据：制造业演示模板（数据仅供练习）　|　数据口径：420 人 / 营收 2.8 亿→3.5 亿 / 人工成本 4200 万</w:t>
      </w: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一、企业战略背景</w:t>
      </w:r>
    </w:p>
    <w:p>
      <w:pPr>
        <w:spacing w:line="360" w:lineRule="auto" w:before="0" w:after="60"/>
      </w:pPr>
      <w:r>
        <w:rPr>
          <w:rFonts w:ascii="Microsoft YaHei" w:hAnsi="Microsoft YaHei" w:eastAsia="Microsoft YaHei"/>
          <w:b w:val="0"/>
          <w:i w:val="0"/>
          <w:sz w:val="28"/>
        </w:rPr>
        <w:t>XXAI原生组织是一家精密机械 / 汽车零部件（模塑产品）制造企业，现有员工 420 人、11 个部门。本年度营收 2.8 亿元，明年目标 3.5 亿元（+25%）。营收三年增幅 33%，但组织健康度诊断综合仅 44.0 分，判为典型的「高营收／低组织」倒挂型——业绩主要靠市场红利和老板个人拉动，不是靠组织能力跑出来的。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948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4"/>
              </w:rPr>
              <w:t>关键指标</w:t>
            </w:r>
          </w:p>
        </w:tc>
        <w:tc>
          <w:tcPr>
            <w:tcW w:type="dxa" w:w="1814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4"/>
              </w:rPr>
              <w:t>本企业</w:t>
            </w:r>
          </w:p>
        </w:tc>
        <w:tc>
          <w:tcPr>
            <w:tcW w:type="dxa" w:w="1928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4"/>
              </w:rPr>
              <w:t>行业标杆</w:t>
            </w:r>
          </w:p>
        </w:tc>
        <w:tc>
          <w:tcPr>
            <w:tcW w:type="dxa" w:w="2494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4"/>
              </w:rPr>
              <w:t>差距</w:t>
            </w:r>
          </w:p>
        </w:tc>
      </w:tr>
      <w:tr>
        <w:tc>
          <w:tcPr>
            <w:tcW w:type="dxa" w:w="2948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4"/>
              </w:rPr>
              <w:t>人均营收（万元/人）</w:t>
            </w:r>
          </w:p>
        </w:tc>
        <w:tc>
          <w:tcPr>
            <w:tcW w:type="dxa" w:w="181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4"/>
              </w:rPr>
              <w:t>66.7</w:t>
            </w:r>
          </w:p>
        </w:tc>
        <w:tc>
          <w:tcPr>
            <w:tcW w:type="dxa" w:w="192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4"/>
              </w:rPr>
              <w:t>85</w:t>
            </w:r>
          </w:p>
        </w:tc>
        <w:tc>
          <w:tcPr>
            <w:tcW w:type="dxa" w:w="249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4"/>
              </w:rPr>
              <w:t>落后 21.5%</w:t>
            </w:r>
          </w:p>
        </w:tc>
      </w:tr>
      <w:tr>
        <w:tc>
          <w:tcPr>
            <w:tcW w:type="dxa" w:w="2948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4"/>
              </w:rPr>
              <w:t>人事费用率（%）</w:t>
            </w:r>
          </w:p>
        </w:tc>
        <w:tc>
          <w:tcPr>
            <w:tcW w:type="dxa" w:w="181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4"/>
              </w:rPr>
              <w:t>15.0</w:t>
            </w:r>
          </w:p>
        </w:tc>
        <w:tc>
          <w:tcPr>
            <w:tcW w:type="dxa" w:w="1928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4"/>
              </w:rPr>
              <w:t>13（健康线）</w:t>
            </w:r>
          </w:p>
        </w:tc>
        <w:tc>
          <w:tcPr>
            <w:tcW w:type="dxa" w:w="249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4"/>
              </w:rPr>
              <w:t>超 2 个点</w:t>
            </w:r>
          </w:p>
        </w:tc>
      </w:tr>
      <w:tr>
        <w:tc>
          <w:tcPr>
            <w:tcW w:type="dxa" w:w="2948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4"/>
              </w:rPr>
              <w:t>人工成本利润率（%）</w:t>
            </w:r>
          </w:p>
        </w:tc>
        <w:tc>
          <w:tcPr>
            <w:tcW w:type="dxa" w:w="181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4"/>
              </w:rPr>
              <w:t>61.9</w:t>
            </w:r>
          </w:p>
        </w:tc>
        <w:tc>
          <w:tcPr>
            <w:tcW w:type="dxa" w:w="192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4"/>
              </w:rPr>
              <w:t>70</w:t>
            </w:r>
          </w:p>
        </w:tc>
        <w:tc>
          <w:tcPr>
            <w:tcW w:type="dxa" w:w="249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4"/>
              </w:rPr>
              <w:t>落后 8.1 个点</w:t>
            </w:r>
          </w:p>
        </w:tc>
      </w:tr>
      <w:tr>
        <w:tc>
          <w:tcPr>
            <w:tcW w:type="dxa" w:w="2948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4"/>
              </w:rPr>
              <w:t>最大管理幅度（人）</w:t>
            </w:r>
          </w:p>
        </w:tc>
        <w:tc>
          <w:tcPr>
            <w:tcW w:type="dxa" w:w="181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4"/>
              </w:rPr>
              <w:t>185</w:t>
            </w:r>
          </w:p>
        </w:tc>
        <w:tc>
          <w:tcPr>
            <w:tcW w:type="dxa" w:w="1928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4"/>
              </w:rPr>
              <w:t>≤ 8</w:t>
            </w:r>
          </w:p>
        </w:tc>
        <w:tc>
          <w:tcPr>
            <w:tcW w:type="dxa" w:w="249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4"/>
              </w:rPr>
              <w:t>严重失控</w:t>
            </w:r>
          </w:p>
        </w:tc>
      </w:tr>
      <w:tr>
        <w:tc>
          <w:tcPr>
            <w:tcW w:type="dxa" w:w="2948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4"/>
              </w:rPr>
              <w:t>核心人才年流失率（%）</w:t>
            </w:r>
          </w:p>
        </w:tc>
        <w:tc>
          <w:tcPr>
            <w:tcW w:type="dxa" w:w="181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4"/>
              </w:rPr>
              <w:t>18</w:t>
            </w:r>
          </w:p>
        </w:tc>
        <w:tc>
          <w:tcPr>
            <w:tcW w:type="dxa" w:w="192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4"/>
              </w:rPr>
              <w:t>≤ 10</w:t>
            </w:r>
          </w:p>
        </w:tc>
        <w:tc>
          <w:tcPr>
            <w:tcW w:type="dxa" w:w="249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4"/>
              </w:rPr>
              <w:t>超 8 个点</w:t>
            </w:r>
          </w:p>
        </w:tc>
      </w:tr>
      <w:tr>
        <w:tc>
          <w:tcPr>
            <w:tcW w:type="dxa" w:w="2948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4"/>
              </w:rPr>
              <w:t>劳务派遣占比（%）</w:t>
            </w:r>
          </w:p>
        </w:tc>
        <w:tc>
          <w:tcPr>
            <w:tcW w:type="dxa" w:w="181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4"/>
              </w:rPr>
              <w:t>12</w:t>
            </w:r>
          </w:p>
        </w:tc>
        <w:tc>
          <w:tcPr>
            <w:tcW w:type="dxa" w:w="1928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4"/>
              </w:rPr>
              <w:t>≤ 10（法定红线）</w:t>
            </w:r>
          </w:p>
        </w:tc>
        <w:tc>
          <w:tcPr>
            <w:tcW w:type="dxa" w:w="249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4"/>
              </w:rPr>
              <w:t>超 2 个点</w:t>
            </w:r>
          </w:p>
        </w:tc>
      </w:tr>
    </w:tbl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二、年度经营目标（一页纸）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835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4"/>
              </w:rPr>
              <w:t>维度</w:t>
            </w:r>
          </w:p>
        </w:tc>
        <w:tc>
          <w:tcPr>
            <w:tcW w:type="dxa" w:w="1814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4"/>
              </w:rPr>
              <w:t>本年实际</w:t>
            </w:r>
          </w:p>
        </w:tc>
        <w:tc>
          <w:tcPr>
            <w:tcW w:type="dxa" w:w="2268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4"/>
              </w:rPr>
              <w:t>明年目标</w:t>
            </w:r>
          </w:p>
        </w:tc>
        <w:tc>
          <w:tcPr>
            <w:tcW w:type="dxa" w:w="2268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4"/>
              </w:rPr>
              <w:t>增幅</w:t>
            </w:r>
          </w:p>
        </w:tc>
      </w:tr>
      <w:tr>
        <w:tc>
          <w:tcPr>
            <w:tcW w:type="dxa" w:w="2835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4"/>
              </w:rPr>
              <w:t>营业收入（万元）</w:t>
            </w:r>
          </w:p>
        </w:tc>
        <w:tc>
          <w:tcPr>
            <w:tcW w:type="dxa" w:w="181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4"/>
              </w:rPr>
              <w:t>28000</w:t>
            </w:r>
          </w:p>
        </w:tc>
        <w:tc>
          <w:tcPr>
            <w:tcW w:type="dxa" w:w="226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4"/>
              </w:rPr>
              <w:t>35000</w:t>
            </w:r>
          </w:p>
        </w:tc>
        <w:tc>
          <w:tcPr>
            <w:tcW w:type="dxa" w:w="226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4"/>
              </w:rPr>
              <w:t>+25%</w:t>
            </w:r>
          </w:p>
        </w:tc>
      </w:tr>
      <w:tr>
        <w:tc>
          <w:tcPr>
            <w:tcW w:type="dxa" w:w="2835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4"/>
              </w:rPr>
              <w:t>净利润（万元）</w:t>
            </w:r>
          </w:p>
        </w:tc>
        <w:tc>
          <w:tcPr>
            <w:tcW w:type="dxa" w:w="181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4"/>
              </w:rPr>
              <w:t>2600</w:t>
            </w:r>
          </w:p>
        </w:tc>
        <w:tc>
          <w:tcPr>
            <w:tcW w:type="dxa" w:w="2268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4"/>
              </w:rPr>
              <w:t>3500</w:t>
            </w:r>
          </w:p>
        </w:tc>
        <w:tc>
          <w:tcPr>
            <w:tcW w:type="dxa" w:w="2268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4"/>
              </w:rPr>
              <w:t>+34.6%</w:t>
            </w:r>
          </w:p>
        </w:tc>
      </w:tr>
      <w:tr>
        <w:tc>
          <w:tcPr>
            <w:tcW w:type="dxa" w:w="2835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4"/>
              </w:rPr>
              <w:t>人均产值（万元/人）</w:t>
            </w:r>
          </w:p>
        </w:tc>
        <w:tc>
          <w:tcPr>
            <w:tcW w:type="dxa" w:w="181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4"/>
              </w:rPr>
              <w:t>66.7</w:t>
            </w:r>
          </w:p>
        </w:tc>
        <w:tc>
          <w:tcPr>
            <w:tcW w:type="dxa" w:w="226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4"/>
              </w:rPr>
              <w:t>80</w:t>
            </w:r>
          </w:p>
        </w:tc>
        <w:tc>
          <w:tcPr>
            <w:tcW w:type="dxa" w:w="226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4"/>
              </w:rPr>
              <w:t>+20%</w:t>
            </w:r>
          </w:p>
        </w:tc>
      </w:tr>
      <w:tr>
        <w:tc>
          <w:tcPr>
            <w:tcW w:type="dxa" w:w="2835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4"/>
              </w:rPr>
              <w:t>人事费用率（%）</w:t>
            </w:r>
          </w:p>
        </w:tc>
        <w:tc>
          <w:tcPr>
            <w:tcW w:type="dxa" w:w="181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4"/>
              </w:rPr>
              <w:t>15.0</w:t>
            </w:r>
          </w:p>
        </w:tc>
        <w:tc>
          <w:tcPr>
            <w:tcW w:type="dxa" w:w="2268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4"/>
              </w:rPr>
              <w:t>≤ 12.5</w:t>
            </w:r>
          </w:p>
        </w:tc>
        <w:tc>
          <w:tcPr>
            <w:tcW w:type="dxa" w:w="2268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4"/>
              </w:rPr>
              <w:t>−2.5 个点</w:t>
            </w:r>
          </w:p>
        </w:tc>
      </w:tr>
      <w:tr>
        <w:tc>
          <w:tcPr>
            <w:tcW w:type="dxa" w:w="2835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4"/>
              </w:rPr>
              <w:t>编制总人数（人）</w:t>
            </w:r>
          </w:p>
        </w:tc>
        <w:tc>
          <w:tcPr>
            <w:tcW w:type="dxa" w:w="181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4"/>
              </w:rPr>
              <w:t>420</w:t>
            </w:r>
          </w:p>
        </w:tc>
        <w:tc>
          <w:tcPr>
            <w:tcW w:type="dxa" w:w="226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4"/>
              </w:rPr>
              <w:t>≤ 370（控编后）</w:t>
            </w:r>
          </w:p>
        </w:tc>
        <w:tc>
          <w:tcPr>
            <w:tcW w:type="dxa" w:w="226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4"/>
              </w:rPr>
              <w:t>−50 人</w:t>
            </w:r>
          </w:p>
        </w:tc>
      </w:tr>
      <w:tr>
        <w:tc>
          <w:tcPr>
            <w:tcW w:type="dxa" w:w="2835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4"/>
              </w:rPr>
              <w:t>核心人才流失率（%）</w:t>
            </w:r>
          </w:p>
        </w:tc>
        <w:tc>
          <w:tcPr>
            <w:tcW w:type="dxa" w:w="181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4"/>
              </w:rPr>
              <w:t>18</w:t>
            </w:r>
          </w:p>
        </w:tc>
        <w:tc>
          <w:tcPr>
            <w:tcW w:type="dxa" w:w="2268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4"/>
              </w:rPr>
              <w:t>≤ 10</w:t>
            </w:r>
          </w:p>
        </w:tc>
        <w:tc>
          <w:tcPr>
            <w:tcW w:type="dxa" w:w="2268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4"/>
              </w:rPr>
              <w:t>−8 个点</w:t>
            </w:r>
          </w:p>
        </w:tc>
      </w:tr>
    </w:tbl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三、六场硬仗清单（核心）</w:t>
      </w:r>
    </w:p>
    <w:p>
      <w:pPr>
        <w:spacing w:line="360" w:lineRule="auto" w:before="0" w:after="80"/>
      </w:pPr>
      <w:r>
        <w:rPr>
          <w:rFonts w:ascii="Microsoft YaHei" w:hAnsi="Microsoft YaHei" w:eastAsia="Microsoft YaHei"/>
          <w:b w:val="0"/>
          <w:i w:val="0"/>
          <w:color w:val="0F6E56"/>
          <w:sz w:val="25"/>
        </w:rPr>
        <w:t>每场硬仗必须同时具备四要素：目标量化、唯一责任人、交付节点、衡量指标。缺任一要素，退回重做。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680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2"/>
              </w:rPr>
              <w:t>编号</w:t>
            </w:r>
          </w:p>
        </w:tc>
        <w:tc>
          <w:tcPr>
            <w:tcW w:type="dxa" w:w="1928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2"/>
              </w:rPr>
              <w:t>硬仗名称</w:t>
            </w:r>
          </w:p>
        </w:tc>
        <w:tc>
          <w:tcPr>
            <w:tcW w:type="dxa" w:w="2608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2"/>
              </w:rPr>
              <w:t>量化目标</w:t>
            </w:r>
          </w:p>
        </w:tc>
        <w:tc>
          <w:tcPr>
            <w:tcW w:type="dxa" w:w="1814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2"/>
              </w:rPr>
              <w:t>唯一责任人</w:t>
            </w:r>
          </w:p>
        </w:tc>
        <w:tc>
          <w:tcPr>
            <w:tcW w:type="dxa" w:w="1814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2"/>
              </w:rPr>
              <w:t>简明 KPI</w:t>
            </w:r>
          </w:p>
        </w:tc>
        <w:tc>
          <w:tcPr>
            <w:tcW w:type="dxa" w:w="680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2"/>
              </w:rPr>
              <w:t>优先级</w:t>
            </w:r>
          </w:p>
        </w:tc>
      </w:tr>
      <w:tr>
        <w:tc>
          <w:tcPr>
            <w:tcW w:type="dxa" w:w="680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2"/>
              </w:rPr>
              <w:t>H1</w:t>
            </w:r>
          </w:p>
        </w:tc>
        <w:tc>
          <w:tcPr>
            <w:tcW w:type="dxa" w:w="192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营收冲刺 3.5 亿</w:t>
            </w:r>
          </w:p>
        </w:tc>
        <w:tc>
          <w:tcPr>
            <w:tcW w:type="dxa" w:w="260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营收 2.8→3.5 亿，净利 ≥3500 万</w:t>
            </w:r>
          </w:p>
        </w:tc>
        <w:tc>
          <w:tcPr>
            <w:tcW w:type="dxa" w:w="181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销售总监（总经理协同）</w:t>
            </w:r>
          </w:p>
        </w:tc>
        <w:tc>
          <w:tcPr>
            <w:tcW w:type="dxa" w:w="181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营收达成率 / 回款率</w:t>
            </w:r>
          </w:p>
        </w:tc>
        <w:tc>
          <w:tcPr>
            <w:tcW w:type="dxa" w:w="680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P0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2"/>
              </w:rPr>
              <w:t>H2</w:t>
            </w:r>
          </w:p>
        </w:tc>
        <w:tc>
          <w:tcPr>
            <w:tcW w:type="dxa" w:w="1928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新品营收占比 40%</w:t>
            </w:r>
          </w:p>
        </w:tc>
        <w:tc>
          <w:tcPr>
            <w:tcW w:type="dxa" w:w="2608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新品占比 25%→40%（约 1.4 亿）</w:t>
            </w:r>
          </w:p>
        </w:tc>
        <w:tc>
          <w:tcPr>
            <w:tcW w:type="dxa" w:w="181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研发总监</w:t>
            </w:r>
          </w:p>
        </w:tc>
        <w:tc>
          <w:tcPr>
            <w:tcW w:type="dxa" w:w="181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新品营收占比</w:t>
            </w:r>
          </w:p>
        </w:tc>
        <w:tc>
          <w:tcPr>
            <w:tcW w:type="dxa" w:w="680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P0</w:t>
            </w:r>
          </w:p>
        </w:tc>
      </w:tr>
      <w:tr>
        <w:tc>
          <w:tcPr>
            <w:tcW w:type="dxa" w:w="680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2"/>
              </w:rPr>
              <w:t>H3</w:t>
            </w:r>
          </w:p>
        </w:tc>
        <w:tc>
          <w:tcPr>
            <w:tcW w:type="dxa" w:w="192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交付周期 32 天</w:t>
            </w:r>
          </w:p>
        </w:tc>
        <w:tc>
          <w:tcPr>
            <w:tcW w:type="dxa" w:w="260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订单交付 45→32 天</w:t>
            </w:r>
          </w:p>
        </w:tc>
        <w:tc>
          <w:tcPr>
            <w:tcW w:type="dxa" w:w="181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供应链总监</w:t>
            </w:r>
          </w:p>
        </w:tc>
        <w:tc>
          <w:tcPr>
            <w:tcW w:type="dxa" w:w="181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订单交付周期</w:t>
            </w:r>
          </w:p>
        </w:tc>
        <w:tc>
          <w:tcPr>
            <w:tcW w:type="dxa" w:w="680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P1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2"/>
              </w:rPr>
              <w:t>H4</w:t>
            </w:r>
          </w:p>
        </w:tc>
        <w:tc>
          <w:tcPr>
            <w:tcW w:type="dxa" w:w="1928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人均产值 80 万</w:t>
            </w:r>
          </w:p>
        </w:tc>
        <w:tc>
          <w:tcPr>
            <w:tcW w:type="dxa" w:w="2608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人均产值 66→80 万</w:t>
            </w:r>
          </w:p>
        </w:tc>
        <w:tc>
          <w:tcPr>
            <w:tcW w:type="dxa" w:w="181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生产总监</w:t>
            </w:r>
          </w:p>
        </w:tc>
        <w:tc>
          <w:tcPr>
            <w:tcW w:type="dxa" w:w="181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人均产值</w:t>
            </w:r>
          </w:p>
        </w:tc>
        <w:tc>
          <w:tcPr>
            <w:tcW w:type="dxa" w:w="680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P0</w:t>
            </w:r>
          </w:p>
        </w:tc>
      </w:tr>
      <w:tr>
        <w:tc>
          <w:tcPr>
            <w:tcW w:type="dxa" w:w="680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2"/>
              </w:rPr>
              <w:t>H5</w:t>
            </w:r>
          </w:p>
        </w:tc>
        <w:tc>
          <w:tcPr>
            <w:tcW w:type="dxa" w:w="192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外部损失率 1.5%</w:t>
            </w:r>
          </w:p>
        </w:tc>
        <w:tc>
          <w:tcPr>
            <w:tcW w:type="dxa" w:w="260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质量外部损失率 3.2%→1.5%</w:t>
            </w:r>
          </w:p>
        </w:tc>
        <w:tc>
          <w:tcPr>
            <w:tcW w:type="dxa" w:w="181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质量总监</w:t>
            </w:r>
          </w:p>
        </w:tc>
        <w:tc>
          <w:tcPr>
            <w:tcW w:type="dxa" w:w="181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外部质量损失率</w:t>
            </w:r>
          </w:p>
        </w:tc>
        <w:tc>
          <w:tcPr>
            <w:tcW w:type="dxa" w:w="680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P1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2"/>
              </w:rPr>
              <w:t>H6</w:t>
            </w:r>
          </w:p>
        </w:tc>
        <w:tc>
          <w:tcPr>
            <w:tcW w:type="dxa" w:w="1928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核心人才流失 10%</w:t>
            </w:r>
          </w:p>
        </w:tc>
        <w:tc>
          <w:tcPr>
            <w:tcW w:type="dxa" w:w="2608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核心人才年流失率 18%→10%</w:t>
            </w:r>
          </w:p>
        </w:tc>
        <w:tc>
          <w:tcPr>
            <w:tcW w:type="dxa" w:w="181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HRD</w:t>
            </w:r>
          </w:p>
        </w:tc>
        <w:tc>
          <w:tcPr>
            <w:tcW w:type="dxa" w:w="181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核心人才保留率</w:t>
            </w:r>
          </w:p>
        </w:tc>
        <w:tc>
          <w:tcPr>
            <w:tcW w:type="dxa" w:w="680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P1</w:t>
            </w:r>
          </w:p>
        </w:tc>
      </w:tr>
    </w:tbl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四、硬仗里程碑（Q1–Q4）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474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硬仗</w:t>
            </w:r>
          </w:p>
        </w:tc>
        <w:tc>
          <w:tcPr>
            <w:tcW w:type="dxa" w:w="1701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Q1</w:t>
            </w:r>
          </w:p>
        </w:tc>
        <w:tc>
          <w:tcPr>
            <w:tcW w:type="dxa" w:w="1701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Q2</w:t>
            </w:r>
          </w:p>
        </w:tc>
        <w:tc>
          <w:tcPr>
            <w:tcW w:type="dxa" w:w="1701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Q3</w:t>
            </w:r>
          </w:p>
        </w:tc>
        <w:tc>
          <w:tcPr>
            <w:tcW w:type="dxa" w:w="1701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Q4</w:t>
            </w:r>
          </w:p>
        </w:tc>
      </w:tr>
      <w:tr>
        <w:tc>
          <w:tcPr>
            <w:tcW w:type="dxa" w:w="1474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H1 营收</w:t>
            </w:r>
          </w:p>
        </w:tc>
        <w:tc>
          <w:tcPr>
            <w:tcW w:type="dxa" w:w="170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大客户续约</w:t>
            </w:r>
          </w:p>
        </w:tc>
        <w:tc>
          <w:tcPr>
            <w:tcW w:type="dxa" w:w="170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新品上市</w:t>
            </w:r>
          </w:p>
        </w:tc>
        <w:tc>
          <w:tcPr>
            <w:tcW w:type="dxa" w:w="170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回款冲刺</w:t>
            </w:r>
          </w:p>
        </w:tc>
        <w:tc>
          <w:tcPr>
            <w:tcW w:type="dxa" w:w="170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达成 3.5 亿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H2 新品</w:t>
            </w:r>
          </w:p>
        </w:tc>
        <w:tc>
          <w:tcPr>
            <w:tcW w:type="dxa" w:w="170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3 模块定型</w:t>
            </w:r>
          </w:p>
        </w:tc>
        <w:tc>
          <w:tcPr>
            <w:tcW w:type="dxa" w:w="170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2 款新品</w:t>
            </w:r>
          </w:p>
        </w:tc>
        <w:tc>
          <w:tcPr>
            <w:tcW w:type="dxa" w:w="170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量产爬坡</w:t>
            </w:r>
          </w:p>
        </w:tc>
        <w:tc>
          <w:tcPr>
            <w:tcW w:type="dxa" w:w="170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占比 40%</w:t>
            </w:r>
          </w:p>
        </w:tc>
      </w:tr>
      <w:tr>
        <w:tc>
          <w:tcPr>
            <w:tcW w:type="dxa" w:w="1474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H3 交付</w:t>
            </w:r>
          </w:p>
        </w:tc>
        <w:tc>
          <w:tcPr>
            <w:tcW w:type="dxa" w:w="170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战略供应商</w:t>
            </w:r>
          </w:p>
        </w:tc>
        <w:tc>
          <w:tcPr>
            <w:tcW w:type="dxa" w:w="170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上 APS 系统</w:t>
            </w:r>
          </w:p>
        </w:tc>
        <w:tc>
          <w:tcPr>
            <w:tcW w:type="dxa" w:w="170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库存优化</w:t>
            </w:r>
          </w:p>
        </w:tc>
        <w:tc>
          <w:tcPr>
            <w:tcW w:type="dxa" w:w="170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达成 32 天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H4 人效</w:t>
            </w:r>
          </w:p>
        </w:tc>
        <w:tc>
          <w:tcPr>
            <w:tcW w:type="dxa" w:w="170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拆管理幅度</w:t>
            </w:r>
          </w:p>
        </w:tc>
        <w:tc>
          <w:tcPr>
            <w:tcW w:type="dxa" w:w="170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扩 IE 岗</w:t>
            </w:r>
          </w:p>
        </w:tc>
        <w:tc>
          <w:tcPr>
            <w:tcW w:type="dxa" w:w="170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多能工培养</w:t>
            </w:r>
          </w:p>
        </w:tc>
        <w:tc>
          <w:tcPr>
            <w:tcW w:type="dxa" w:w="170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人均 80 万</w:t>
            </w:r>
          </w:p>
        </w:tc>
      </w:tr>
      <w:tr>
        <w:tc>
          <w:tcPr>
            <w:tcW w:type="dxa" w:w="1474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H5 质量</w:t>
            </w:r>
          </w:p>
        </w:tc>
        <w:tc>
          <w:tcPr>
            <w:tcW w:type="dxa" w:w="170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一票否决权</w:t>
            </w:r>
          </w:p>
        </w:tc>
        <w:tc>
          <w:tcPr>
            <w:tcW w:type="dxa" w:w="170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体系重建</w:t>
            </w:r>
          </w:p>
        </w:tc>
        <w:tc>
          <w:tcPr>
            <w:tcW w:type="dxa" w:w="170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客诉下降</w:t>
            </w:r>
          </w:p>
        </w:tc>
        <w:tc>
          <w:tcPr>
            <w:tcW w:type="dxa" w:w="170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损失率 1.5%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H6 人才</w:t>
            </w:r>
          </w:p>
        </w:tc>
        <w:tc>
          <w:tcPr>
            <w:tcW w:type="dxa" w:w="170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设 OD 岗</w:t>
            </w:r>
          </w:p>
        </w:tc>
        <w:tc>
          <w:tcPr>
            <w:tcW w:type="dxa" w:w="170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签竞业协议</w:t>
            </w:r>
          </w:p>
        </w:tc>
        <w:tc>
          <w:tcPr>
            <w:tcW w:type="dxa" w:w="170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继任配对</w:t>
            </w:r>
          </w:p>
        </w:tc>
        <w:tc>
          <w:tcPr>
            <w:tcW w:type="dxa" w:w="170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流失率 10%</w:t>
            </w:r>
          </w:p>
        </w:tc>
      </w:tr>
    </w:tbl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五、部门 KPI 分解（11 个部门）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474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部门</w:t>
            </w:r>
          </w:p>
        </w:tc>
        <w:tc>
          <w:tcPr>
            <w:tcW w:type="dxa" w:w="680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人数</w:t>
            </w:r>
          </w:p>
        </w:tc>
        <w:tc>
          <w:tcPr>
            <w:tcW w:type="dxa" w:w="1020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主扛硬仗</w:t>
            </w:r>
          </w:p>
        </w:tc>
        <w:tc>
          <w:tcPr>
            <w:tcW w:type="dxa" w:w="4535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核心 KPI（≤8 条）</w:t>
            </w:r>
          </w:p>
        </w:tc>
        <w:tc>
          <w:tcPr>
            <w:tcW w:type="dxa" w:w="907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权重上限</w:t>
            </w:r>
          </w:p>
        </w:tc>
      </w:tr>
      <w:tr>
        <w:tc>
          <w:tcPr>
            <w:tcW w:type="dxa" w:w="1474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1"/>
              </w:rPr>
              <w:t>销售部</w:t>
            </w:r>
          </w:p>
        </w:tc>
        <w:tc>
          <w:tcPr>
            <w:tcW w:type="dxa" w:w="680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55</w:t>
            </w:r>
          </w:p>
        </w:tc>
        <w:tc>
          <w:tcPr>
            <w:tcW w:type="dxa" w:w="1020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H1</w:t>
            </w:r>
          </w:p>
        </w:tc>
        <w:tc>
          <w:tcPr>
            <w:tcW w:type="dxa" w:w="4535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营收达成率 / 回款率 / 新品销售占比 / 合同毛利率</w:t>
            </w:r>
          </w:p>
        </w:tc>
        <w:tc>
          <w:tcPr>
            <w:tcW w:type="dxa" w:w="90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30%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1"/>
              </w:rPr>
              <w:t>研发部</w:t>
            </w:r>
          </w:p>
        </w:tc>
        <w:tc>
          <w:tcPr>
            <w:tcW w:type="dxa" w:w="680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45</w:t>
            </w:r>
          </w:p>
        </w:tc>
        <w:tc>
          <w:tcPr>
            <w:tcW w:type="dxa" w:w="1020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H2</w:t>
            </w:r>
          </w:p>
        </w:tc>
        <w:tc>
          <w:tcPr>
            <w:tcW w:type="dxa" w:w="4535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新品营收占比 / 项目按期交付率 / 设计变更返工工时</w:t>
            </w:r>
          </w:p>
        </w:tc>
        <w:tc>
          <w:tcPr>
            <w:tcW w:type="dxa" w:w="90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30%</w:t>
            </w:r>
          </w:p>
        </w:tc>
      </w:tr>
      <w:tr>
        <w:tc>
          <w:tcPr>
            <w:tcW w:type="dxa" w:w="1474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1"/>
              </w:rPr>
              <w:t>生产制造</w:t>
            </w:r>
          </w:p>
        </w:tc>
        <w:tc>
          <w:tcPr>
            <w:tcW w:type="dxa" w:w="680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185</w:t>
            </w:r>
          </w:p>
        </w:tc>
        <w:tc>
          <w:tcPr>
            <w:tcW w:type="dxa" w:w="1020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H4</w:t>
            </w:r>
          </w:p>
        </w:tc>
        <w:tc>
          <w:tcPr>
            <w:tcW w:type="dxa" w:w="4535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人均产值 / 一次合格率 / 交付准时率 / 设备稼动率</w:t>
            </w:r>
          </w:p>
        </w:tc>
        <w:tc>
          <w:tcPr>
            <w:tcW w:type="dxa" w:w="90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30%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1"/>
              </w:rPr>
              <w:t>供应链</w:t>
            </w:r>
          </w:p>
        </w:tc>
        <w:tc>
          <w:tcPr>
            <w:tcW w:type="dxa" w:w="680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25</w:t>
            </w:r>
          </w:p>
        </w:tc>
        <w:tc>
          <w:tcPr>
            <w:tcW w:type="dxa" w:w="1020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H3</w:t>
            </w:r>
          </w:p>
        </w:tc>
        <w:tc>
          <w:tcPr>
            <w:tcW w:type="dxa" w:w="4535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交付周期 / 齐套率 / 呆滞库存金额</w:t>
            </w:r>
          </w:p>
        </w:tc>
        <w:tc>
          <w:tcPr>
            <w:tcW w:type="dxa" w:w="90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30%</w:t>
            </w:r>
          </w:p>
        </w:tc>
      </w:tr>
      <w:tr>
        <w:tc>
          <w:tcPr>
            <w:tcW w:type="dxa" w:w="1474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1"/>
              </w:rPr>
              <w:t>质量部</w:t>
            </w:r>
          </w:p>
        </w:tc>
        <w:tc>
          <w:tcPr>
            <w:tcW w:type="dxa" w:w="680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25</w:t>
            </w:r>
          </w:p>
        </w:tc>
        <w:tc>
          <w:tcPr>
            <w:tcW w:type="dxa" w:w="1020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H5</w:t>
            </w:r>
          </w:p>
        </w:tc>
        <w:tc>
          <w:tcPr>
            <w:tcW w:type="dxa" w:w="4535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外部质量损失率 / 客诉次数 / 一次交验合格率</w:t>
            </w:r>
          </w:p>
        </w:tc>
        <w:tc>
          <w:tcPr>
            <w:tcW w:type="dxa" w:w="90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30%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1"/>
              </w:rPr>
              <w:t>人力资源部</w:t>
            </w:r>
          </w:p>
        </w:tc>
        <w:tc>
          <w:tcPr>
            <w:tcW w:type="dxa" w:w="680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12</w:t>
            </w:r>
          </w:p>
        </w:tc>
        <w:tc>
          <w:tcPr>
            <w:tcW w:type="dxa" w:w="1020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H6</w:t>
            </w:r>
          </w:p>
        </w:tc>
        <w:tc>
          <w:tcPr>
            <w:tcW w:type="dxa" w:w="4535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核心人才保留率 / 关键岗继任覆盖率 / 人效</w:t>
            </w:r>
          </w:p>
        </w:tc>
        <w:tc>
          <w:tcPr>
            <w:tcW w:type="dxa" w:w="90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25%</w:t>
            </w:r>
          </w:p>
        </w:tc>
      </w:tr>
      <w:tr>
        <w:tc>
          <w:tcPr>
            <w:tcW w:type="dxa" w:w="1474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1"/>
              </w:rPr>
              <w:t>财务部</w:t>
            </w:r>
          </w:p>
        </w:tc>
        <w:tc>
          <w:tcPr>
            <w:tcW w:type="dxa" w:w="680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15</w:t>
            </w:r>
          </w:p>
        </w:tc>
        <w:tc>
          <w:tcPr>
            <w:tcW w:type="dxa" w:w="1020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H1</w:t>
            </w:r>
          </w:p>
        </w:tc>
        <w:tc>
          <w:tcPr>
            <w:tcW w:type="dxa" w:w="4535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回款率 / 坏账计提 / 成本核算准确率</w:t>
            </w:r>
          </w:p>
        </w:tc>
        <w:tc>
          <w:tcPr>
            <w:tcW w:type="dxa" w:w="90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25%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1"/>
              </w:rPr>
              <w:t>市场部</w:t>
            </w:r>
          </w:p>
        </w:tc>
        <w:tc>
          <w:tcPr>
            <w:tcW w:type="dxa" w:w="680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12</w:t>
            </w:r>
          </w:p>
        </w:tc>
        <w:tc>
          <w:tcPr>
            <w:tcW w:type="dxa" w:w="1020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H2</w:t>
            </w:r>
          </w:p>
        </w:tc>
        <w:tc>
          <w:tcPr>
            <w:tcW w:type="dxa" w:w="4535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新品推广触达 / 展会线索数</w:t>
            </w:r>
          </w:p>
        </w:tc>
        <w:tc>
          <w:tcPr>
            <w:tcW w:type="dxa" w:w="90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20%</w:t>
            </w:r>
          </w:p>
        </w:tc>
      </w:tr>
      <w:tr>
        <w:tc>
          <w:tcPr>
            <w:tcW w:type="dxa" w:w="1474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1"/>
              </w:rPr>
              <w:t>售后服务</w:t>
            </w:r>
          </w:p>
        </w:tc>
        <w:tc>
          <w:tcPr>
            <w:tcW w:type="dxa" w:w="680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20</w:t>
            </w:r>
          </w:p>
        </w:tc>
        <w:tc>
          <w:tcPr>
            <w:tcW w:type="dxa" w:w="1020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H5</w:t>
            </w:r>
          </w:p>
        </w:tc>
        <w:tc>
          <w:tcPr>
            <w:tcW w:type="dxa" w:w="4535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客诉响应时长 / 一次修复率</w:t>
            </w:r>
          </w:p>
        </w:tc>
        <w:tc>
          <w:tcPr>
            <w:tcW w:type="dxa" w:w="90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25%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1"/>
              </w:rPr>
              <w:t>行政 / IT</w:t>
            </w:r>
          </w:p>
        </w:tc>
        <w:tc>
          <w:tcPr>
            <w:tcW w:type="dxa" w:w="680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18</w:t>
            </w:r>
          </w:p>
        </w:tc>
        <w:tc>
          <w:tcPr>
            <w:tcW w:type="dxa" w:w="1020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H3/H4</w:t>
            </w:r>
          </w:p>
        </w:tc>
        <w:tc>
          <w:tcPr>
            <w:tcW w:type="dxa" w:w="4535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系统可用率 / 后勤满意度</w:t>
            </w:r>
          </w:p>
        </w:tc>
        <w:tc>
          <w:tcPr>
            <w:tcW w:type="dxa" w:w="90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20%</w:t>
            </w:r>
          </w:p>
        </w:tc>
      </w:tr>
      <w:tr>
        <w:tc>
          <w:tcPr>
            <w:tcW w:type="dxa" w:w="1474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1"/>
              </w:rPr>
              <w:t>总经办</w:t>
            </w:r>
          </w:p>
        </w:tc>
        <w:tc>
          <w:tcPr>
            <w:tcW w:type="dxa" w:w="680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8</w:t>
            </w:r>
          </w:p>
        </w:tc>
        <w:tc>
          <w:tcPr>
            <w:tcW w:type="dxa" w:w="1020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全硬仗</w:t>
            </w:r>
          </w:p>
        </w:tc>
        <w:tc>
          <w:tcPr>
            <w:tcW w:type="dxa" w:w="4535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硬仗整体达成率 / 战略项目推进</w:t>
            </w:r>
          </w:p>
        </w:tc>
        <w:tc>
          <w:tcPr>
            <w:tcW w:type="dxa" w:w="90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40%</w:t>
            </w:r>
          </w:p>
        </w:tc>
      </w:tr>
    </w:tbl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六、绩效承诺与复盘机制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PBC 签订：11 位部门负责人逐一当面签，不走 HR 转交；签字变形式，军令状就失效。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指标封顶：部门指标 ≤ 8 条，岗位 ≤ 5 条。写到 20 条等于一条都没考核。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季度复盘：每季度首月召开硬仗复盘会，逐场核对达成率、偏差原因、下季动作。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红线约束：连续两季达成率 &lt; 70% 的硬仗，须重新评估是否继续。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质量一票否决：质量总监先给权（出货否决），再签外部损失率 KPI。</w:t>
      </w:r>
    </w:p>
    <w:p>
      <w:pPr>
        <w:spacing w:line="360" w:lineRule="auto" w:before="0" w:after="160"/>
      </w:pPr>
    </w:p>
    <w:p>
      <w:pPr>
        <w:spacing w:before="240"/>
      </w:pPr>
      <w:r>
        <w:rPr>
          <w:rFonts w:ascii="Microsoft YaHei" w:hAnsi="Microsoft YaHei" w:eastAsia="Microsoft YaHei"/>
          <w:b w:val="0"/>
          <w:i w:val="0"/>
          <w:sz w:val="24"/>
        </w:rPr>
        <w:t xml:space="preserve">编制：人力资源部　　　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审核：＿＿＿＿　　　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批准（总裁）：＿＿＿＿　　　</w:t>
      </w:r>
      <w:r>
        <w:rPr>
          <w:rFonts w:ascii="Microsoft YaHei" w:hAnsi="Microsoft YaHei" w:eastAsia="Microsoft YaHei"/>
          <w:b w:val="0"/>
          <w:i w:val="0"/>
          <w:sz w:val="24"/>
        </w:rPr>
        <w:t>日期：＿＿年＿＿月＿＿日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Microsoft YaHei" w:hAnsi="Microsoft YaHei" w:eastAsia="Microsoft YaHe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