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使命与愿景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事维度 · 战略顶层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营收 2.8 亿→3.5 亿 / 11 个部门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一、使命（我们为什么存在）</w:t>
      </w:r>
    </w:p>
    <w:p>
      <w:pPr>
        <w:spacing w:line="360" w:lineRule="auto" w:before="0" w:after="40"/>
      </w:pPr>
      <w:r>
        <w:rPr>
          <w:rFonts w:ascii="Microsoft YaHei" w:hAnsi="Microsoft YaHei" w:eastAsia="Microsoft YaHei"/>
          <w:b w:val="0"/>
          <w:i w:val="0"/>
          <w:sz w:val="28"/>
        </w:rPr>
        <w:t>XXAI原生组织的使命：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/>
          <w:i w:val="0"/>
          <w:color w:val="C0392B"/>
          <w:sz w:val="25"/>
        </w:rPr>
        <w:t>以精密模塑技术，让汽车零部件更轻、更可靠、更具成本优势，为员工的成长与客户的竞争力持续创造价值。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三层含义：① 对客户——提供高性价比的精密模塑零部件；② 对员工——提供可成长的平台与有竞争力的回报；③ 对社会——以更轻的材料与更高的良率减少资源浪费。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二、愿景（我们要成为什么）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/>
          <w:i w:val="0"/>
          <w:color w:val="C0392B"/>
          <w:sz w:val="25"/>
        </w:rPr>
        <w:t>成为长三角区域精密模塑零部件的首选供应商，以研发驱动与交付准时构建差异化竞争力。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时间</w:t>
            </w:r>
          </w:p>
        </w:tc>
        <w:tc>
          <w:tcPr>
            <w:tcW w:type="dxa" w:w="36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阶段目标</w:t>
            </w:r>
          </w:p>
        </w:tc>
        <w:tc>
          <w:tcPr>
            <w:tcW w:type="dxa" w:w="30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关键衡量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1 年（2026）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营收 3.5 亿，人效进入行业中位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人均营收 ≥80 万、外部损失率 ≤1.5%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3 年（2028）</w:t>
            </w:r>
          </w:p>
        </w:tc>
        <w:tc>
          <w:tcPr>
            <w:tcW w:type="dxa" w:w="36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新品营收占比 ≥50%，成为研发驱动型企业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新品占比 ≥50%、研发人员占比 ≥12%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5 年（2030）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区域首选供应商，具备与外资同台竞争的能力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人均营收 ≥100 万、客户复购率 ≥85%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三、战略定位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定位维度</w:t>
            </w:r>
          </w:p>
        </w:tc>
        <w:tc>
          <w:tcPr>
            <w:tcW w:type="dxa" w:w="24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选择</w:t>
            </w:r>
          </w:p>
        </w:tc>
        <w:tc>
          <w:tcPr>
            <w:tcW w:type="dxa" w:w="4082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说明</w:t>
            </w:r>
          </w:p>
        </w:tc>
      </w:tr>
      <w:tr>
        <w:tc>
          <w:tcPr>
            <w:tcW w:type="dxa" w:w="158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产品定位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高精密结构件 + 功能件</w:t>
            </w:r>
          </w:p>
        </w:tc>
        <w:tc>
          <w:tcPr>
            <w:tcW w:type="dxa" w:w="408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避开纯价格战的外观件红海</w:t>
            </w:r>
          </w:p>
        </w:tc>
      </w:tr>
      <w:tr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客户定位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整车厂 + 头部一级供应商</w:t>
            </w:r>
          </w:p>
        </w:tc>
        <w:tc>
          <w:tcPr>
            <w:tcW w:type="dxa" w:w="408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客户质量优先于订单数量</w:t>
            </w:r>
          </w:p>
        </w:tc>
      </w:tr>
      <w:tr>
        <w:tc>
          <w:tcPr>
            <w:tcW w:type="dxa" w:w="158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能力定位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模具自主开发 + 精密注塑</w:t>
            </w:r>
          </w:p>
        </w:tc>
        <w:tc>
          <w:tcPr>
            <w:tcW w:type="dxa" w:w="408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构建工艺 Know-how 壁垒</w:t>
            </w:r>
          </w:p>
        </w:tc>
      </w:tr>
      <w:tr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区域定位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长三角为核心，辐射全国</w:t>
            </w:r>
          </w:p>
        </w:tc>
        <w:tc>
          <w:tcPr>
            <w:tcW w:type="dxa" w:w="408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贴近客户，压缩交付周期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四、使命愿景如何落地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落到硬仗：使命愿景不是墙上的字，而是通过 H1–H6 六场硬仗逐年兑现。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落到人效：以人均营收、人均利润作为衡量战略是否落地的最终标尺。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落到考核：总经理与各部门负责人的 PBC 中，至少 1 项指标直接承接年度阶段目标。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落到用人：A 类岗位识别以"对硬仗的贡献度"为首要判据，而非职级高低或薪资高低。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审核：＿＿＿＿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