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六场硬仗清单（详细版）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事维度 · 硬仗管理核心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420 人 / 营收 2.8 亿→3.5 亿 / 11 个部门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一、硬仗四要素校验</w:t>
      </w:r>
    </w:p>
    <w:p>
      <w:pPr>
        <w:spacing w:line="360" w:lineRule="auto" w:before="0" w:after="120"/>
      </w:pPr>
      <w:r>
        <w:rPr>
          <w:rFonts w:ascii="Microsoft YaHei" w:hAnsi="Microsoft YaHei" w:eastAsia="Microsoft YaHei"/>
          <w:b w:val="0"/>
          <w:i w:val="0"/>
          <w:sz w:val="28"/>
        </w:rPr>
        <w:t>每场硬仗必须同时具备：目标量化、唯一责任人、交付节点、衡量指标。缺一不可，缺了就不是硬仗，是口号。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56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编号</w:t>
            </w:r>
          </w:p>
        </w:tc>
        <w:tc>
          <w:tcPr>
            <w:tcW w:type="dxa" w:w="147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硬仗</w:t>
            </w:r>
          </w:p>
        </w:tc>
        <w:tc>
          <w:tcPr>
            <w:tcW w:type="dxa" w:w="192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① 目标量化</w:t>
            </w:r>
          </w:p>
        </w:tc>
        <w:tc>
          <w:tcPr>
            <w:tcW w:type="dxa" w:w="147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② 唯一责任人</w:t>
            </w:r>
          </w:p>
        </w:tc>
        <w:tc>
          <w:tcPr>
            <w:tcW w:type="dxa" w:w="13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③ 交付节点</w:t>
            </w:r>
          </w:p>
        </w:tc>
        <w:tc>
          <w:tcPr>
            <w:tcW w:type="dxa" w:w="13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④ 衡量指标</w:t>
            </w:r>
          </w:p>
        </w:tc>
        <w:tc>
          <w:tcPr>
            <w:tcW w:type="dxa" w:w="90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校验</w:t>
            </w:r>
          </w:p>
        </w:tc>
      </w:tr>
      <w:tr>
        <w:tc>
          <w:tcPr>
            <w:tcW w:type="dxa" w:w="56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H1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营收冲刺 3.5 亿</w:t>
            </w:r>
          </w:p>
        </w:tc>
        <w:tc>
          <w:tcPr>
            <w:tcW w:type="dxa" w:w="19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2.8→3.5 亿，净利 ≥3500 万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销售总监（总经理协同）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Q1–Q4 四段里程碑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营收达成率 / 回款率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✓ 四要素齐全</w:t>
            </w:r>
          </w:p>
        </w:tc>
      </w:tr>
      <w:tr>
        <w:tc>
          <w:tcPr>
            <w:tcW w:type="dxa" w:w="56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H2</w:t>
            </w:r>
          </w:p>
        </w:tc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新品营收占比 40%</w:t>
            </w:r>
          </w:p>
        </w:tc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25%→40%（约 1.4 亿）</w:t>
            </w:r>
          </w:p>
        </w:tc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研发总监</w:t>
            </w:r>
          </w:p>
        </w:tc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Q1–Q4 四段里程碑</w:t>
            </w:r>
          </w:p>
        </w:tc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新品营收占比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✓ 四要素齐全</w:t>
            </w:r>
          </w:p>
        </w:tc>
      </w:tr>
      <w:tr>
        <w:tc>
          <w:tcPr>
            <w:tcW w:type="dxa" w:w="56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H3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交付周期 32 天</w:t>
            </w:r>
          </w:p>
        </w:tc>
        <w:tc>
          <w:tcPr>
            <w:tcW w:type="dxa" w:w="19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45→32 天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供应链总监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Q1–Q4 四段里程碑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订单交付周期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✓ 四要素齐全</w:t>
            </w:r>
          </w:p>
        </w:tc>
      </w:tr>
      <w:tr>
        <w:tc>
          <w:tcPr>
            <w:tcW w:type="dxa" w:w="56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H4</w:t>
            </w:r>
          </w:p>
        </w:tc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人均产值 80 万</w:t>
            </w:r>
          </w:p>
        </w:tc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66→80 万</w:t>
            </w:r>
          </w:p>
        </w:tc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生产总监</w:t>
            </w:r>
          </w:p>
        </w:tc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Q1–Q4 四段里程碑</w:t>
            </w:r>
          </w:p>
        </w:tc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人均产值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✓ 四要素齐全</w:t>
            </w:r>
          </w:p>
        </w:tc>
      </w:tr>
      <w:tr>
        <w:tc>
          <w:tcPr>
            <w:tcW w:type="dxa" w:w="56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H5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外部损失率 1.5%</w:t>
            </w:r>
          </w:p>
        </w:tc>
        <w:tc>
          <w:tcPr>
            <w:tcW w:type="dxa" w:w="19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3.2%→1.5%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质量总监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Q1–Q4 四段里程碑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外部质量损失率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✓ 四要素齐全</w:t>
            </w:r>
          </w:p>
        </w:tc>
      </w:tr>
      <w:tr>
        <w:tc>
          <w:tcPr>
            <w:tcW w:type="dxa" w:w="56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H6</w:t>
            </w:r>
          </w:p>
        </w:tc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核心人才流失 10%</w:t>
            </w:r>
          </w:p>
        </w:tc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18%→10%</w:t>
            </w:r>
          </w:p>
        </w:tc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HRD</w:t>
            </w:r>
          </w:p>
        </w:tc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Q1–Q4 四段里程碑</w:t>
            </w:r>
          </w:p>
        </w:tc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核心人才保留率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✓ 四要素齐全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二、硬仗与部门主扛关系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3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硬仗</w:t>
            </w:r>
          </w:p>
        </w:tc>
        <w:tc>
          <w:tcPr>
            <w:tcW w:type="dxa" w:w="170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主扛部门（R）</w:t>
            </w:r>
          </w:p>
        </w:tc>
        <w:tc>
          <w:tcPr>
            <w:tcW w:type="dxa" w:w="3515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配合部门（S）</w:t>
            </w:r>
          </w:p>
        </w:tc>
        <w:tc>
          <w:tcPr>
            <w:tcW w:type="dxa" w:w="158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部门人数</w:t>
            </w:r>
          </w:p>
        </w:tc>
      </w:tr>
      <w:tr>
        <w:tc>
          <w:tcPr>
            <w:tcW w:type="dxa" w:w="136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H1 营收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销售部</w:t>
            </w:r>
          </w:p>
        </w:tc>
        <w:tc>
          <w:tcPr>
            <w:tcW w:type="dxa" w:w="351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市场部、售后服务、财务部</w:t>
            </w:r>
          </w:p>
        </w:tc>
        <w:tc>
          <w:tcPr>
            <w:tcW w:type="dxa" w:w="158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55 / 12 / 20 / 15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H2 新品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研发部</w:t>
            </w:r>
          </w:p>
        </w:tc>
        <w:tc>
          <w:tcPr>
            <w:tcW w:type="dxa" w:w="351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市场部、生产制造、质量部</w:t>
            </w:r>
          </w:p>
        </w:tc>
        <w:tc>
          <w:tcPr>
            <w:tcW w:type="dxa" w:w="158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45 / 12 / 185 / 25</w:t>
            </w:r>
          </w:p>
        </w:tc>
      </w:tr>
      <w:tr>
        <w:tc>
          <w:tcPr>
            <w:tcW w:type="dxa" w:w="136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H3 交付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供应链</w:t>
            </w:r>
          </w:p>
        </w:tc>
        <w:tc>
          <w:tcPr>
            <w:tcW w:type="dxa" w:w="351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生产制造、行政IT（APS 系统）</w:t>
            </w:r>
          </w:p>
        </w:tc>
        <w:tc>
          <w:tcPr>
            <w:tcW w:type="dxa" w:w="158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25 / 185 / 18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H4 人效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生产制造</w:t>
            </w:r>
          </w:p>
        </w:tc>
        <w:tc>
          <w:tcPr>
            <w:tcW w:type="dxa" w:w="351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人力资源部、行政IT</w:t>
            </w:r>
          </w:p>
        </w:tc>
        <w:tc>
          <w:tcPr>
            <w:tcW w:type="dxa" w:w="158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185 / 12 / 18</w:t>
            </w:r>
          </w:p>
        </w:tc>
      </w:tr>
      <w:tr>
        <w:tc>
          <w:tcPr>
            <w:tcW w:type="dxa" w:w="136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H5 质量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质量部</w:t>
            </w:r>
          </w:p>
        </w:tc>
        <w:tc>
          <w:tcPr>
            <w:tcW w:type="dxa" w:w="351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生产制造、研发部、售后服务</w:t>
            </w:r>
          </w:p>
        </w:tc>
        <w:tc>
          <w:tcPr>
            <w:tcW w:type="dxa" w:w="158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25 / 185 / 45 / 20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H6 人才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人力资源部</w:t>
            </w:r>
          </w:p>
        </w:tc>
        <w:tc>
          <w:tcPr>
            <w:tcW w:type="dxa" w:w="351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全部门</w:t>
            </w:r>
          </w:p>
        </w:tc>
        <w:tc>
          <w:tcPr>
            <w:tcW w:type="dxa" w:w="158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12 / 420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三、硬仗纪律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硬仗不超过 5 场为佳，本企业定 6 场已接近上限，年内不得再增。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一场硬仗一个第一责任人，共同负责视为无人负责。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每场硬仗至少绑定 1 项人效指标（人均营收/人均利润/人事费用率/人工成本利润率/人均人工成本）。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季度复盘必须逐场核对达成率；连续两季 &lt;70% 的硬仗重新评估是否继续。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硬仗调整须经总裁书面批准，中途不得随意增减。</w:t>
      </w:r>
    </w:p>
    <w:p>
      <w:pPr>
        <w:spacing w:line="360" w:lineRule="auto" w:before="0" w:after="80"/>
      </w:pP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4"/>
        </w:rPr>
        <w:t>编制：人力资源部　　审核：＿＿＿＿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