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生产制造部年度工作计划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事维度 · 部门年度计划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营收 2.8 亿→3.5 亿 / 11 个部门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一、部门定位与最大问题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生产制造部 185 人（占全员 44%），是 H4（人均产值 80 万）主扛部门。最大问题是管理幅度失控：生产总监 1 人直管 185 人，外部质量损失 2.8 亿 × 3.2% = 896 万/年，是最大的一笔漏血。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二、年度目标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60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目标</w:t>
            </w:r>
          </w:p>
        </w:tc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基准值</w:t>
            </w:r>
          </w:p>
        </w:tc>
        <w:tc>
          <w:tcPr>
            <w:tcW w:type="dxa" w:w="272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目标值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对应硬仗</w:t>
            </w:r>
          </w:p>
        </w:tc>
      </w:tr>
      <w:tr>
        <w:tc>
          <w:tcPr>
            <w:tcW w:type="dxa" w:w="260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人均产值（万/人）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66.7</w:t>
            </w:r>
          </w:p>
        </w:tc>
        <w:tc>
          <w:tcPr>
            <w:tcW w:type="dxa" w:w="272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80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H4</w:t>
            </w:r>
          </w:p>
        </w:tc>
      </w:tr>
      <w:tr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一次合格率（%）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272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≥95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H5</w:t>
            </w:r>
          </w:p>
        </w:tc>
      </w:tr>
      <w:tr>
        <w:tc>
          <w:tcPr>
            <w:tcW w:type="dxa" w:w="260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订单交付准时率（%）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272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≥92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H3</w:t>
            </w:r>
          </w:p>
        </w:tc>
      </w:tr>
      <w:tr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生产总监直管人数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185</w:t>
            </w:r>
          </w:p>
        </w:tc>
        <w:tc>
          <w:tcPr>
            <w:tcW w:type="dxa" w:w="272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≤8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H4</w:t>
            </w:r>
          </w:p>
        </w:tc>
      </w:tr>
      <w:tr>
        <w:tc>
          <w:tcPr>
            <w:tcW w:type="dxa" w:w="260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高级技师/技师占比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—</w:t>
            </w:r>
          </w:p>
        </w:tc>
        <w:tc>
          <w:tcPr>
            <w:tcW w:type="dxa" w:w="272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≤20% / ≤10%（守住上限）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H4</w:t>
            </w:r>
          </w:p>
        </w:tc>
      </w:tr>
      <w:tr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编制人数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185</w:t>
            </w:r>
          </w:p>
        </w:tc>
        <w:tc>
          <w:tcPr>
            <w:tcW w:type="dxa" w:w="272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178（控编 7 人）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H4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三、季度行动计划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季度</w:t>
            </w:r>
          </w:p>
        </w:tc>
        <w:tc>
          <w:tcPr>
            <w:tcW w:type="dxa" w:w="419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重点任务</w:t>
            </w:r>
          </w:p>
        </w:tc>
        <w:tc>
          <w:tcPr>
            <w:tcW w:type="dxa" w:w="294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交付物</w:t>
            </w:r>
          </w:p>
        </w:tc>
      </w:tr>
      <w:tr>
        <w:tc>
          <w:tcPr>
            <w:tcW w:type="dxa" w:w="79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Q1</w:t>
            </w:r>
          </w:p>
        </w:tc>
        <w:tc>
          <w:tcPr>
            <w:tcW w:type="dxa" w:w="419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管理幅度重构：生产总监下设 3 车间主任 + 1 计划排产</w:t>
            </w:r>
          </w:p>
        </w:tc>
        <w:tc>
          <w:tcPr>
            <w:tcW w:type="dxa" w:w="294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新组织架构图 + 任命文件</w:t>
            </w:r>
          </w:p>
        </w:tc>
      </w:tr>
      <w:tr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Q2</w:t>
            </w:r>
          </w:p>
        </w:tc>
        <w:tc>
          <w:tcPr>
            <w:tcW w:type="dxa" w:w="419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扩充 IE 岗；精益改善提案制度化</w:t>
            </w:r>
          </w:p>
        </w:tc>
        <w:tc>
          <w:tcPr>
            <w:tcW w:type="dxa" w:w="294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IE 到岗 + 提案台账</w:t>
            </w:r>
          </w:p>
        </w:tc>
      </w:tr>
      <w:tr>
        <w:tc>
          <w:tcPr>
            <w:tcW w:type="dxa" w:w="79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Q3</w:t>
            </w:r>
          </w:p>
        </w:tc>
        <w:tc>
          <w:tcPr>
            <w:tcW w:type="dxa" w:w="419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多能工培养，技能矩阵覆盖率提升</w:t>
            </w:r>
          </w:p>
        </w:tc>
        <w:tc>
          <w:tcPr>
            <w:tcW w:type="dxa" w:w="294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技能矩阵图</w:t>
            </w:r>
          </w:p>
        </w:tc>
      </w:tr>
      <w:tr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Q4</w:t>
            </w:r>
          </w:p>
        </w:tc>
        <w:tc>
          <w:tcPr>
            <w:tcW w:type="dxa" w:w="419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人均产值达成 80 万</w:t>
            </w:r>
          </w:p>
        </w:tc>
        <w:tc>
          <w:tcPr>
            <w:tcW w:type="dxa" w:w="294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财务确认产值表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四、技能等级与薪酬联动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生产序列设 O1 班组长 / O2 技师 / O3 高级技师三级，技能工资占 30%（334 结构）。等级评定按应知应会+实操+答辩，高级工 ≤20%、技师 ≤10%，防止等级通胀摊薄技能工资包。</w:t>
      </w: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