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人才盘点与继任管理方案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有限资源押在对的位置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数据口径：420 人 / 营收 2.8 亿→3.5 亿 / 人工成本 4200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一、人力现状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指标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数值</w:t>
            </w:r>
          </w:p>
        </w:tc>
        <w:tc>
          <w:tcPr>
            <w:tcW w:type="dxa" w:w="476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问题诊断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总人数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420 人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生产一线 185 人占 44%，结构偏重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核心人才流失率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18%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健康线 ≤10%，超 8 个百分点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核心人才盘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89 人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 45 + 大客户销售 20 + 车间主任 3 + 班组长 12 + 部门负责人 9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年流失人数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16 人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 18% 测算，年损失约 224 万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类关键岗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 岗 26 人（6.2%）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低于 8% 建议下限，须补评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继任覆盖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关键岗 5 / 合格继任 5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深度 1.00，但仍偏薄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二、A 类关键岗位识别（三维称重）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color w:val="0F6E56"/>
          <w:sz w:val="25"/>
        </w:rPr>
        <w:t>判据：战略影响度 40% + 市场稀缺性 30% + 替代难度 30%，A 类 ≥ 80 分；任一维度 &lt; 40 分降一档（门控）。A 类占比建议 8%–12%（本企业当前 6.2%，偏低，须补评至 8% 以上）。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A 类岗位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部门</w:t>
            </w:r>
          </w:p>
        </w:tc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编制</w:t>
            </w:r>
          </w:p>
        </w:tc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战略</w:t>
            </w:r>
          </w:p>
        </w:tc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稀缺</w:t>
            </w:r>
          </w:p>
        </w:tc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替代</w:t>
            </w:r>
          </w:p>
        </w:tc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硬仗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判定理由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研发总监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研发部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92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87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92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H2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六仗核心操盘，新品唯一负责人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非标结构主任工程师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研发部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88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85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86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H2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非标设计唯一，图纸标准化牵头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大客户销售经理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销售部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85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82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84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H1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大客户资源绑定，回款主力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电控工程师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研发部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82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83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H2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电控核心算法，培养周期长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软件工程师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研发部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6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78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82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H2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软件核心，竞品对标难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销售总监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销售部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84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78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H1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回款操盘，PBC 回款率 25%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供应链总监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供应链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88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82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H3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集采操盘，年度采购授权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精益/IE 工程师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生产制造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85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H3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工艺改善，直报总经理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color w:val="C0392B"/>
          <w:sz w:val="25"/>
        </w:rPr>
        <w:t>门控降档案例：PMC 计划经理，替代难度 80 分看似很高，但市场稀缺性仅 35 分（&lt;40），触发门控降为 B 类——重要 ≠ 稀缺，这类岗位靠体系而非加薪。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三、人才盘点九宫格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潜力低（1–2）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潜力中（3）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潜力高（4–5）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绩效高（4–5）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专业能手：专家通道 + 知识沉淀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核心骨干：重任授权 + 稳定性保留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明星：加速提拔 + 股权激励 + 重点保留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绩效中（3）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稳定贡献：维持现状 + 技能提升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中坚力量：轮岗历练 + 能力补强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高潜新秀：轮岗 + 导师制 + 加速培养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绩效低（1–2）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待改进：PIP 30 天 + 转岗或淘汰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波动人员：明确改进计划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待观察：换岗适配 + 重新评估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四、继任计划（一岗一后备）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A 类岗位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现任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继任者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准备度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风险等级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培养动作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研发总监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张总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非标结构主任工程师（内部）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 年内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黄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指定副总监，项目分红绑定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销售总监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李总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大客户销售经理（内部）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 年内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黄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长周期提成 + 客户档案入系统，去人身依附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供应链总监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刘总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PMC 计划经理（内部）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Ready now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绿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集采授权逐步下放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精益/IE 工程师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（空缺）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外部招聘 + 内部 IE 培养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空缺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红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90 天内补齐，否则 H4 无人操盘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电控工程师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王工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软件工程师（交叉培养）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 年内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黄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跨专业轮岗 + 外部培训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硬要求：标记为"空缺"的 A 类岗，须在 90 天内补齐后备或启动外部招聘预案。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五、招聘与保留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紧缺岗位：精益/IE 工程师、电控工程师、非标结构工程师、大客户销售经理。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渠道：内部推荐（生产运营总监岗专项内推方案）+ 目标高校校招（研发）+ 竞品 Mapping（大客户销售）。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A 类保留：年度薪酬激励增量中锁定不低于 30% 专项用于 A 类 26 人，不得按人头平摊。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竞业与保密：核心 89 人全部签订竞业限制协议（Q2 完成）。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流失红线：核心人才年流失率 18% → 10%，未达标 HRD 承担主要责任。</w:t>
      </w:r>
    </w:p>
    <w:p>
      <w:pPr>
        <w:spacing w:line="360" w:lineRule="auto" w:before="0" w:after="16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 xml:space="preserve">编制：人力资源部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审核：＿＿＿＿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 xml:space="preserve">批准（总裁）：＿＿＿＿　　　</w:t>
      </w:r>
      <w:r>
        <w:rPr>
          <w:rFonts w:ascii="Microsoft YaHei" w:hAnsi="Microsoft YaHei" w:eastAsia="Microsoft YaHei"/>
          <w:b w:val="0"/>
          <w:i w:val="0"/>
          <w:sz w:val="24"/>
        </w:rPr>
        <w:t>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