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技术研发校园招聘方案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人才储备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一、需求与目标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人数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专业要求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到岗时间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结构工程师（储备）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机械设计 / 材料成型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次年 7 月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电控工程师（储备）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电气 / 自动化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次年 7 月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软件工程师（储备）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计算机 / 软件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次年 7 月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工艺工程师（储备）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高分子 / 模具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次年 7 月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二、目标高校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层次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院校类型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数量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招聘对象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核心院校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长三角理工类院校（机械 / 材料强校）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所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 + 硕士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支撑院校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省内应用型本科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所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补充渠道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高职专科（模具 / 数控）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 所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专科（一线技术岗储备）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三、实施节奏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时间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9–10 月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宣讲会 + 简历收集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宣讲排期、简历库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10–11 月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笔试 + 面试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评价记录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11–12 月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发放 offer + 三方协议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签约名单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次年 3–6 月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实习 + 毕业设计联动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实习鉴定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次年 7 月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正式入职 + 带教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入职档案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四、培养与保留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双导师制：业务导师（主任工程师）+ 职业导师（HR），各带 3–5 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两年培养路径：半年轮岗 → 1 年独立模块 → 2 年独立项目。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留存激励：服务满 2 年发放留存奖金 1 万；满 3 年优先纳入 A 类后备。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流失预警：首年流失率目标 ≤10%，每季度做一次新人访谈。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