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E18E8">
      <w:pPr>
        <w:pBdr>
          <w:bottom w:val="single" w:color="1F3A5F" w:sz="12" w:space="2"/>
        </w:pBdr>
        <w:spacing w:before="0" w:after="120" w:line="360" w:lineRule="auto"/>
        <w:jc w:val="center"/>
      </w:pPr>
      <w:r>
        <w:rPr>
          <w:rFonts w:ascii="微软雅黑" w:hAnsi="微软雅黑" w:eastAsia="微软雅黑"/>
          <w:b/>
          <w:i w:val="0"/>
          <w:color w:val="1F3A5F"/>
          <w:sz w:val="36"/>
        </w:rPr>
        <w:t>XXAI原生组织 总经理（1 号位）领导力模型</w:t>
      </w:r>
    </w:p>
    <w:p w14:paraId="5569628B">
      <w:pPr>
        <w:spacing w:before="0" w:after="40" w:line="360" w:lineRule="auto"/>
        <w:jc w:val="center"/>
      </w:pPr>
      <w:r>
        <w:rPr>
          <w:rFonts w:ascii="微软雅黑" w:hAnsi="微软雅黑" w:eastAsia="微软雅黑"/>
          <w:b/>
          <w:i w:val="0"/>
          <w:color w:val="C0392B"/>
          <w:sz w:val="26"/>
        </w:rPr>
        <w:t>XXAI原生组织　·　岗维度 · 领导力</w:t>
      </w:r>
    </w:p>
    <w:p w14:paraId="27571EE4"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1"/>
        </w:rPr>
        <w:t>模板依据：制造业演示模板（数据仅供练习）　|　420 人 / 11 个部门 / 四序列 M·P·S·O</w:t>
      </w:r>
    </w:p>
    <w:p w14:paraId="468BE13C">
      <w:pPr>
        <w:spacing w:before="240" w:after="100" w:line="360" w:lineRule="auto"/>
      </w:pPr>
      <w:r>
        <w:rPr>
          <w:rFonts w:ascii="微软雅黑" w:hAnsi="微软雅黑" w:eastAsia="微软雅黑"/>
          <w:b/>
          <w:i w:val="0"/>
          <w:color w:val="0F6E56"/>
          <w:sz w:val="30"/>
        </w:rPr>
        <w:t>一、1 号位的六项核心能力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928"/>
        <w:gridCol w:w="2835"/>
        <w:gridCol w:w="2268"/>
      </w:tblGrid>
      <w:tr w14:paraId="67B95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F3A5F"/>
          </w:tcPr>
          <w:p w14:paraId="6DE09181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3"/>
              </w:rPr>
              <w:t>能力项</w:t>
            </w:r>
          </w:p>
        </w:tc>
        <w:tc>
          <w:tcPr>
            <w:tcW w:w="1928" w:type="dxa"/>
            <w:shd w:val="clear" w:color="auto" w:fill="1F3A5F"/>
          </w:tcPr>
          <w:p w14:paraId="317739D4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3"/>
              </w:rPr>
              <w:t>定义</w:t>
            </w:r>
          </w:p>
        </w:tc>
        <w:tc>
          <w:tcPr>
            <w:tcW w:w="2835" w:type="dxa"/>
            <w:shd w:val="clear" w:color="auto" w:fill="1F3A5F"/>
          </w:tcPr>
          <w:p w14:paraId="1913D199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3"/>
              </w:rPr>
              <w:t>行为表现</w:t>
            </w:r>
          </w:p>
        </w:tc>
        <w:tc>
          <w:tcPr>
            <w:tcW w:w="2268" w:type="dxa"/>
            <w:shd w:val="clear" w:color="auto" w:fill="1F3A5F"/>
          </w:tcPr>
          <w:p w14:paraId="78D91EE3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3"/>
              </w:rPr>
              <w:t>反面表现</w:t>
            </w:r>
          </w:p>
        </w:tc>
      </w:tr>
      <w:tr w14:paraId="5BC23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7DDE342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3"/>
              </w:rPr>
              <w:t>定战略</w:t>
            </w:r>
          </w:p>
        </w:tc>
        <w:tc>
          <w:tcPr>
            <w:tcW w:w="1928" w:type="dxa"/>
          </w:tcPr>
          <w:p w14:paraId="22ABBA06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看清方向，确定打哪几仗</w:t>
            </w:r>
          </w:p>
        </w:tc>
        <w:tc>
          <w:tcPr>
            <w:tcW w:w="2835" w:type="dxa"/>
          </w:tcPr>
          <w:p w14:paraId="4EA7CD55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每年锁定 ≤5 场硬仗，目标带数字</w:t>
            </w:r>
          </w:p>
        </w:tc>
        <w:tc>
          <w:tcPr>
            <w:tcW w:w="2268" w:type="dxa"/>
          </w:tcPr>
          <w:p w14:paraId="22BE61DE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什么都想做，资源被稀释</w:t>
            </w:r>
          </w:p>
        </w:tc>
      </w:tr>
      <w:tr w14:paraId="060E4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4F6F9"/>
          </w:tcPr>
          <w:p w14:paraId="1B216B92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3"/>
              </w:rPr>
              <w:t>搭班子</w:t>
            </w:r>
          </w:p>
        </w:tc>
        <w:tc>
          <w:tcPr>
            <w:tcW w:w="1928" w:type="dxa"/>
            <w:shd w:val="clear" w:color="auto" w:fill="F4F6F9"/>
          </w:tcPr>
          <w:p w14:paraId="0DBF3E9F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选对人，配好结构</w:t>
            </w:r>
          </w:p>
        </w:tc>
        <w:tc>
          <w:tcPr>
            <w:tcW w:w="2835" w:type="dxa"/>
            <w:shd w:val="clear" w:color="auto" w:fill="F4F6F9"/>
          </w:tcPr>
          <w:p w14:paraId="6C3D74BF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关键岗位亲自面试，A 类岗亲自谈</w:t>
            </w:r>
          </w:p>
        </w:tc>
        <w:tc>
          <w:tcPr>
            <w:tcW w:w="2268" w:type="dxa"/>
            <w:shd w:val="clear" w:color="auto" w:fill="F4F6F9"/>
          </w:tcPr>
          <w:p w14:paraId="30B85225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把用人全权交给 HR</w:t>
            </w:r>
          </w:p>
        </w:tc>
      </w:tr>
      <w:tr w14:paraId="2109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1ED2024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3"/>
              </w:rPr>
              <w:t>定机制</w:t>
            </w:r>
          </w:p>
        </w:tc>
        <w:tc>
          <w:tcPr>
            <w:tcW w:w="1928" w:type="dxa"/>
          </w:tcPr>
          <w:p w14:paraId="462BC2B6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用制度而非人治</w:t>
            </w:r>
          </w:p>
        </w:tc>
        <w:tc>
          <w:tcPr>
            <w:tcW w:w="2835" w:type="dxa"/>
          </w:tcPr>
          <w:p w14:paraId="53FDD3AD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管理幅度、编制、红线写进制度</w:t>
            </w:r>
          </w:p>
        </w:tc>
        <w:tc>
          <w:tcPr>
            <w:tcW w:w="2268" w:type="dxa"/>
          </w:tcPr>
          <w:p w14:paraId="490F2A4D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靠个人盯，人一松就乱</w:t>
            </w:r>
          </w:p>
        </w:tc>
      </w:tr>
      <w:tr w14:paraId="2BCB4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4F6F9"/>
          </w:tcPr>
          <w:p w14:paraId="1C199E9B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3"/>
              </w:rPr>
              <w:t>抓人效</w:t>
            </w:r>
          </w:p>
        </w:tc>
        <w:tc>
          <w:tcPr>
            <w:tcW w:w="1928" w:type="dxa"/>
            <w:shd w:val="clear" w:color="auto" w:fill="F4F6F9"/>
          </w:tcPr>
          <w:p w14:paraId="5A1D5767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以人效为最终标尺</w:t>
            </w:r>
          </w:p>
        </w:tc>
        <w:tc>
          <w:tcPr>
            <w:tcW w:w="2835" w:type="dxa"/>
            <w:shd w:val="clear" w:color="auto" w:fill="F4F6F9"/>
          </w:tcPr>
          <w:p w14:paraId="6D6247A0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月度看板必看人均营收与人事费用率</w:t>
            </w:r>
          </w:p>
        </w:tc>
        <w:tc>
          <w:tcPr>
            <w:tcW w:w="2268" w:type="dxa"/>
            <w:shd w:val="clear" w:color="auto" w:fill="F4F6F9"/>
          </w:tcPr>
          <w:p w14:paraId="0CF6688C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只看营收，不看人均</w:t>
            </w:r>
          </w:p>
        </w:tc>
      </w:tr>
      <w:tr w14:paraId="2AB44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B42B2FB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3"/>
              </w:rPr>
              <w:t>敢拍板</w:t>
            </w:r>
          </w:p>
        </w:tc>
        <w:tc>
          <w:tcPr>
            <w:tcW w:w="1928" w:type="dxa"/>
          </w:tcPr>
          <w:p w14:paraId="0AEAA9B0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关键时刻不回避</w:t>
            </w:r>
          </w:p>
        </w:tc>
        <w:tc>
          <w:tcPr>
            <w:tcW w:w="2835" w:type="dxa"/>
          </w:tcPr>
          <w:p w14:paraId="7AC05A73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硬仗责任人当面任命，争议当场裁决</w:t>
            </w:r>
          </w:p>
        </w:tc>
        <w:tc>
          <w:tcPr>
            <w:tcW w:w="2268" w:type="dxa"/>
          </w:tcPr>
          <w:p w14:paraId="1508DD2A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"回去再议"，问题悬而未决</w:t>
            </w:r>
          </w:p>
        </w:tc>
      </w:tr>
      <w:tr w14:paraId="3B2F9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4F6F9"/>
          </w:tcPr>
          <w:p w14:paraId="2122D474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3"/>
              </w:rPr>
              <w:t>守底线</w:t>
            </w:r>
          </w:p>
        </w:tc>
        <w:tc>
          <w:tcPr>
            <w:tcW w:w="1928" w:type="dxa"/>
            <w:shd w:val="clear" w:color="auto" w:fill="F4F6F9"/>
          </w:tcPr>
          <w:p w14:paraId="5525822C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合规红线不碰</w:t>
            </w:r>
          </w:p>
        </w:tc>
        <w:tc>
          <w:tcPr>
            <w:tcW w:w="2835" w:type="dxa"/>
            <w:shd w:val="clear" w:color="auto" w:fill="F4F6F9"/>
          </w:tcPr>
          <w:p w14:paraId="51FA5D6A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社保、加班费、派遣占比亲自过问</w:t>
            </w:r>
          </w:p>
        </w:tc>
        <w:tc>
          <w:tcPr>
            <w:tcW w:w="2268" w:type="dxa"/>
            <w:shd w:val="clear" w:color="auto" w:fill="F4F6F9"/>
          </w:tcPr>
          <w:p w14:paraId="762C4C72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为省成本默许踩线</w:t>
            </w:r>
          </w:p>
        </w:tc>
      </w:tr>
    </w:tbl>
    <w:p w14:paraId="197D0B76">
      <w:pPr>
        <w:spacing w:before="0" w:after="80" w:line="360" w:lineRule="auto"/>
      </w:pPr>
    </w:p>
    <w:p w14:paraId="62086AD2">
      <w:pPr>
        <w:spacing w:before="240" w:after="100" w:line="360" w:lineRule="auto"/>
      </w:pPr>
      <w:r>
        <w:rPr>
          <w:rFonts w:ascii="微软雅黑" w:hAnsi="微软雅黑" w:eastAsia="微软雅黑"/>
          <w:b/>
          <w:i w:val="0"/>
          <w:color w:val="0F6E56"/>
          <w:sz w:val="30"/>
        </w:rPr>
        <w:t>二、1 号位的三件不能授权的事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494"/>
        <w:gridCol w:w="3855"/>
      </w:tblGrid>
      <w:tr w14:paraId="44EAE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F3A5F"/>
          </w:tcPr>
          <w:p w14:paraId="1465FB7B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3"/>
              </w:rPr>
              <w:t>事项</w:t>
            </w:r>
          </w:p>
        </w:tc>
        <w:tc>
          <w:tcPr>
            <w:tcW w:w="2494" w:type="dxa"/>
            <w:shd w:val="clear" w:color="auto" w:fill="1F3A5F"/>
          </w:tcPr>
          <w:p w14:paraId="30EB21C1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3"/>
              </w:rPr>
              <w:t>为什么不能授权</w:t>
            </w:r>
          </w:p>
        </w:tc>
        <w:tc>
          <w:tcPr>
            <w:tcW w:w="3855" w:type="dxa"/>
            <w:shd w:val="clear" w:color="auto" w:fill="1F3A5F"/>
          </w:tcPr>
          <w:p w14:paraId="490D1DD8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3"/>
              </w:rPr>
              <w:t>具体动作</w:t>
            </w:r>
          </w:p>
        </w:tc>
      </w:tr>
      <w:tr w14:paraId="1F1C2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D7C1B72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3"/>
              </w:rPr>
              <w:t>① 硬仗责任人的任命</w:t>
            </w:r>
          </w:p>
        </w:tc>
        <w:tc>
          <w:tcPr>
            <w:tcW w:w="2494" w:type="dxa"/>
          </w:tcPr>
          <w:p w14:paraId="38A8AE35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授权出去，责任就散了</w:t>
            </w:r>
          </w:p>
        </w:tc>
        <w:tc>
          <w:tcPr>
            <w:tcW w:w="3855" w:type="dxa"/>
          </w:tcPr>
          <w:p w14:paraId="5CA05E47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逐场硬仗当面任命，签责任书</w:t>
            </w:r>
          </w:p>
        </w:tc>
      </w:tr>
      <w:tr w14:paraId="7B895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4F6F9"/>
          </w:tcPr>
          <w:p w14:paraId="7A782BB7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3"/>
              </w:rPr>
              <w:t>② A 类岗位的确定与保留</w:t>
            </w:r>
          </w:p>
        </w:tc>
        <w:tc>
          <w:tcPr>
            <w:tcW w:w="2494" w:type="dxa"/>
            <w:shd w:val="clear" w:color="auto" w:fill="F4F6F9"/>
          </w:tcPr>
          <w:p w14:paraId="58404F95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A 类错了，资源全押错</w:t>
            </w:r>
          </w:p>
        </w:tc>
        <w:tc>
          <w:tcPr>
            <w:tcW w:w="3855" w:type="dxa"/>
            <w:shd w:val="clear" w:color="auto" w:fill="F4F6F9"/>
          </w:tcPr>
          <w:p w14:paraId="04BEB744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亲自审定 A 类清单，亲自谈保留条件</w:t>
            </w:r>
          </w:p>
        </w:tc>
      </w:tr>
      <w:tr w14:paraId="6688D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92BC47A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23"/>
              </w:rPr>
              <w:t>③ 合规红线的处置</w:t>
            </w:r>
          </w:p>
        </w:tc>
        <w:tc>
          <w:tcPr>
            <w:tcW w:w="2494" w:type="dxa"/>
          </w:tcPr>
          <w:p w14:paraId="6FAF2FA2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这是老板的法律责任</w:t>
            </w:r>
          </w:p>
        </w:tc>
        <w:tc>
          <w:tcPr>
            <w:tcW w:w="3855" w:type="dxa"/>
          </w:tcPr>
          <w:p w14:paraId="63AC2E1F">
            <w:pPr>
              <w:spacing w:before="40" w:after="4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23"/>
              </w:rPr>
              <w:t>红黄绿清单亲自过目，整改预算亲自批</w:t>
            </w:r>
          </w:p>
        </w:tc>
      </w:tr>
    </w:tbl>
    <w:p w14:paraId="30E77F76">
      <w:pPr>
        <w:spacing w:before="0" w:after="80" w:line="360" w:lineRule="auto"/>
      </w:pPr>
    </w:p>
    <w:p w14:paraId="3CE64D75">
      <w:pPr>
        <w:spacing w:before="240" w:after="100" w:line="360" w:lineRule="auto"/>
      </w:pPr>
      <w:r>
        <w:rPr>
          <w:rFonts w:ascii="微软雅黑" w:hAnsi="微软雅黑" w:eastAsia="微软雅黑"/>
          <w:b/>
          <w:i w:val="0"/>
          <w:color w:val="0F6E56"/>
          <w:sz w:val="30"/>
        </w:rPr>
        <w:t>三、领导力评估</w:t>
      </w:r>
    </w:p>
    <w:p w14:paraId="3F1EBF8D">
      <w:pPr>
        <w:spacing w:before="0" w:after="40" w:line="360" w:lineRule="auto"/>
        <w:ind w:left="280"/>
      </w:pPr>
      <w:r>
        <w:rPr>
          <w:rFonts w:ascii="微软雅黑" w:hAnsi="微软雅黑" w:eastAsia="微软雅黑"/>
          <w:b w:val="0"/>
          <w:i w:val="0"/>
          <w:sz w:val="28"/>
        </w:rPr>
        <w:t>· 评估方式：360 度评估（上级、平级、下级）+ 硬仗结果，每年一次。</w:t>
      </w:r>
    </w:p>
    <w:p w14:paraId="3C211942">
      <w:pPr>
        <w:spacing w:before="0" w:after="40" w:line="360" w:lineRule="auto"/>
        <w:ind w:left="280"/>
      </w:pPr>
      <w:r>
        <w:rPr>
          <w:rFonts w:ascii="微软雅黑" w:hAnsi="微软雅黑" w:eastAsia="微软雅黑"/>
          <w:b w:val="0"/>
          <w:i w:val="0"/>
          <w:sz w:val="28"/>
        </w:rPr>
        <w:t>· 结果运用：领导力评估与硬仗达成率共同决定 1 号位的年终激励与任期。</w:t>
      </w:r>
    </w:p>
    <w:p w14:paraId="4A1E04BF">
      <w:pPr>
        <w:spacing w:before="0" w:after="40" w:line="360" w:lineRule="auto"/>
        <w:ind w:left="280"/>
      </w:pPr>
      <w:r>
        <w:rPr>
          <w:rFonts w:ascii="微软雅黑" w:hAnsi="微软雅黑" w:eastAsia="微软雅黑"/>
          <w:b w:val="0"/>
          <w:i w:val="0"/>
          <w:sz w:val="28"/>
        </w:rPr>
        <w:t>· 改进机制：评估后须制定个人发展计划（IDP），明确 2–3 项改进动作与时限。</w:t>
      </w:r>
    </w:p>
    <w:p w14:paraId="2C9B8CCE">
      <w:pPr>
        <w:spacing w:before="0" w:after="80" w:line="360" w:lineRule="auto"/>
      </w:pPr>
    </w:p>
    <w:p w14:paraId="6790CE8C">
      <w:pPr>
        <w:spacing w:before="240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编制：人力资源部　　审核：＿＿＿　　批准（总裁）：＿＿＿　　</w:t>
      </w:r>
    </w:p>
    <w:p w14:paraId="7ACA03FB">
      <w:pPr>
        <w:spacing w:before="240"/>
      </w:pPr>
      <w:bookmarkStart w:id="0" w:name="_GoBack"/>
      <w:bookmarkEnd w:id="0"/>
      <w:r>
        <w:rPr>
          <w:rFonts w:ascii="微软雅黑" w:hAnsi="微软雅黑" w:eastAsia="微软雅黑"/>
          <w:b w:val="0"/>
          <w:i w:val="0"/>
          <w:sz w:val="24"/>
        </w:rPr>
        <w:t>日期：＿＿年＿＿月＿＿日</w:t>
      </w:r>
    </w:p>
    <w:sectPr>
      <w:pgSz w:w="11906" w:h="16838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07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微软雅黑" w:hAnsi="微软雅黑" w:eastAsia="微软雅黑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585</Words>
  <Characters>596</Characters>
  <Lines>0</Lines>
  <Paragraphs>0</Paragraphs>
  <TotalTime>0</TotalTime>
  <ScaleCrop>false</ScaleCrop>
  <LinksUpToDate>false</LinksUpToDate>
  <CharactersWithSpaces>640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/>
  <dcterms:modified xsi:type="dcterms:W3CDTF">2026-08-31T08:04:53Z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eyJoZGlkIjoiMzEwNTM5NzYwMDRjMzkwZTVkZjY2ODkwMGIxNGU0OTUiLCJ1c2VySWQiOiIxODE0MTQ1NDUxIn0=</vt:lpwstr>
  </property>
  <property fmtid="{D5CDD505-2E9C-101B-9397-08002B2CF9AE}" pid="3" name="KSOProductBuildVer">
    <vt:lpwstr>2052-12.1.0.28043</vt:lpwstr>
  </property>
  <property fmtid="{D5CDD505-2E9C-101B-9397-08002B2CF9AE}" pid="4" name="ICV">
    <vt:lpwstr>C546ADE87B464EE291A480B6F3A4D158_12</vt:lpwstr>
  </property>
</Properties>
</file>