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生产车间加班管理制度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流程制度维度 · 工时管理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红 3 / 黄 5 / 绿 1　|　敞口 523–1074 万　|　整改预算 140 万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一、制定目的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XXAI原生组织生产一线 185 人，人均月加班约 30 小时。现行加班费按基本工资计算，属 R3 红色风险（单人年差约 1.32 万，追溯 2 年敞口约 488 万）。本制度规范加班审批与加班费计算，是整改 R3 的落地文件。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二、加班原则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先审批后加班：未经审批的加班不予认可，也不计发加班费。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总量控制：每月加班不超过 36 小时，每人每日不超过 3 小时。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优先补休：休息日加班优先安排补休，不能补休的支付加班费。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禁止变相强制：不得以末位淘汰、扣绩效等方式变相强制加班。</w:t>
      </w:r>
    </w:p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三、加班审批流程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环节</w:t>
            </w:r>
          </w:p>
        </w:tc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责任人</w:t>
            </w:r>
          </w:p>
        </w:tc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时限</w:t>
            </w:r>
          </w:p>
        </w:tc>
        <w:tc>
          <w:tcPr>
            <w:tcW w:type="dxa" w:w="294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输出</w:t>
            </w:r>
          </w:p>
        </w:tc>
      </w:tr>
      <w:tr>
        <w:tc>
          <w:tcPr>
            <w:tcW w:type="dxa" w:w="113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① 提出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车间主任 / 班组长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加班前 1 个工作日</w:t>
            </w:r>
          </w:p>
        </w:tc>
        <w:tc>
          <w:tcPr>
            <w:tcW w:type="dxa" w:w="294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《加班申请单》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② 审核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生产总监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 个工作日内</w:t>
            </w:r>
          </w:p>
        </w:tc>
        <w:tc>
          <w:tcPr>
            <w:tcW w:type="dxa" w:w="294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审核意见</w:t>
            </w:r>
          </w:p>
        </w:tc>
      </w:tr>
      <w:tr>
        <w:tc>
          <w:tcPr>
            <w:tcW w:type="dxa" w:w="113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③ 备案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每周汇总</w:t>
            </w:r>
          </w:p>
        </w:tc>
        <w:tc>
          <w:tcPr>
            <w:tcW w:type="dxa" w:w="294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加班台账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④ 确认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员工本人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次月 5 日前</w:t>
            </w:r>
          </w:p>
        </w:tc>
        <w:tc>
          <w:tcPr>
            <w:tcW w:type="dxa" w:w="294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考勤签字确认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四、加班费计算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基数 = 应发工资（岗位工资 + 技能工资），不得低于当地最低工资标准。不得只按基本工资或最低工资计算。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加班类型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倍数</w:t>
            </w:r>
          </w:p>
        </w:tc>
        <w:tc>
          <w:tcPr>
            <w:tcW w:type="dxa" w:w="4876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平日延长工作时间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1.5 倍</w:t>
            </w:r>
          </w:p>
        </w:tc>
        <w:tc>
          <w:tcPr>
            <w:tcW w:type="dxa" w:w="48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日标准工时外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休息日工作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 倍</w:t>
            </w:r>
          </w:p>
        </w:tc>
        <w:tc>
          <w:tcPr>
            <w:tcW w:type="dxa" w:w="48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优先安排补休，不能补休的付 2 倍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法定节假日工作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 倍</w:t>
            </w:r>
          </w:p>
        </w:tc>
        <w:tc>
          <w:tcPr>
            <w:tcW w:type="dxa" w:w="48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不得以补休替代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五、综合计算工时制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生产一线拟实行综合计算工时制的，须先向人社部门申请审批，取得批文后方可实行。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未批先用的属 Y3 黄色风险，须在 60 天内完成补审批。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综合工时周期内平均工时不得超过法定标准工时。</w:t>
      </w:r>
    </w:p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六、记录与监督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考勤记录须保存 2 年以上，作为加班费核算与争议处理的依据。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HR 每月抽查加班台账与实际考勤的一致性。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员工对加班费有异议的，可在发放后 30 日内向 HR 提出，HR 须在 10 个工作日内核查答复。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3"/>
        </w:rPr>
        <w:t>编制：人力资源部 + 法务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