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薪酬与人工成本管控方案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钱维度 · 总包倒算，不做加法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数据口径：420 人 / 营收 2.8 亿→3.5 亿 / 人工成本 4200 万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一、人工成本总盘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项目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金额/比例</w:t>
            </w:r>
          </w:p>
        </w:tc>
        <w:tc>
          <w:tcPr>
            <w:tcW w:type="dxa" w:w="453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本年营收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28000 万</w:t>
            </w:r>
          </w:p>
        </w:tc>
        <w:tc>
          <w:tcPr>
            <w:tcW w:type="dxa" w:w="45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目标 35000 万（+25%）</w:t>
            </w:r>
          </w:p>
        </w:tc>
      </w:tr>
      <w:tr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本年人工成本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4200 万</w:t>
            </w:r>
          </w:p>
        </w:tc>
        <w:tc>
          <w:tcPr>
            <w:tcW w:type="dxa" w:w="45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全口径（工资+社保+福利+外包+派遣）</w:t>
            </w:r>
          </w:p>
        </w:tc>
      </w:tr>
      <w:tr>
        <w:tc>
          <w:tcPr>
            <w:tcW w:type="dxa" w:w="204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人事费用率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15.0%</w:t>
            </w:r>
          </w:p>
        </w:tc>
        <w:tc>
          <w:tcPr>
            <w:tcW w:type="dxa" w:w="45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行业健康线 13%，超 2 个点</w:t>
            </w:r>
          </w:p>
        </w:tc>
      </w:tr>
      <w:tr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明年总包（倒算）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35000 × 12.5% ≈ 4375 万</w:t>
            </w:r>
          </w:p>
        </w:tc>
        <w:tc>
          <w:tcPr>
            <w:tcW w:type="dxa" w:w="45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目标人事费用率 12.5%</w:t>
            </w:r>
          </w:p>
        </w:tc>
      </w:tr>
      <w:tr>
        <w:tc>
          <w:tcPr>
            <w:tcW w:type="dxa" w:w="204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合规刚性先扣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140 万</w:t>
            </w:r>
          </w:p>
        </w:tc>
        <w:tc>
          <w:tcPr>
            <w:tcW w:type="dxa" w:w="45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社保补差、加班费补差等法定刚性</w:t>
            </w:r>
          </w:p>
        </w:tc>
      </w:tr>
      <w:tr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可分配增量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约 175 万</w:t>
            </w:r>
          </w:p>
        </w:tc>
        <w:tc>
          <w:tcPr>
            <w:tcW w:type="dxa" w:w="45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扣刚性后，用于调薪与激励</w:t>
            </w:r>
          </w:p>
        </w:tc>
      </w:tr>
      <w:tr>
        <w:tc>
          <w:tcPr>
            <w:tcW w:type="dxa" w:w="204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A 类增量锁定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120 万（约 68%）</w:t>
            </w:r>
          </w:p>
        </w:tc>
        <w:tc>
          <w:tcPr>
            <w:tcW w:type="dxa" w:w="45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专项锁定 A 类 26 人，不平摊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二、总包倒算公式（取代"去年 + X%"）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8"/>
        </w:rPr>
        <w:t>年度人工成本总包 = 目标营收 × 目标人事费用率 = 35000 万 × 12.5% = 4375 万。不得按"去年实际 + X%"递增。合规刚性成本（140 万）先从总包扣除，剩余部分才用于分配——不扣，激励就建在雷区上。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三、序列固浮比设计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序列</w:t>
            </w:r>
          </w:p>
        </w:tc>
        <w:tc>
          <w:tcPr>
            <w:tcW w:type="dxa" w:w="7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人数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分项（万）</w:t>
            </w:r>
          </w:p>
        </w:tc>
        <w:tc>
          <w:tcPr>
            <w:tcW w:type="dxa" w:w="102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固定比</w:t>
            </w:r>
          </w:p>
        </w:tc>
        <w:tc>
          <w:tcPr>
            <w:tcW w:type="dxa" w:w="102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浮动比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岗位价值系数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结果可量化系数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高管 / 总经办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8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600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70%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30%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1.0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研发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45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900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55%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45%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1.2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销售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55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800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50%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50%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1.3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0.9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供应链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25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500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55%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45%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1.1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0.8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生产一线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185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1400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60%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40%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0.9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0.7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职能后台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102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560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55%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45%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1.0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0.7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四、宽带薪酬表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序列</w:t>
            </w:r>
          </w:p>
        </w:tc>
        <w:tc>
          <w:tcPr>
            <w:tcW w:type="dxa" w:w="7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等级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岗位</w:t>
            </w:r>
          </w:p>
        </w:tc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下限（万）</w:t>
            </w:r>
          </w:p>
        </w:tc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中位（万）</w:t>
            </w:r>
          </w:p>
        </w:tc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上限（万）</w:t>
            </w:r>
          </w:p>
        </w:tc>
        <w:tc>
          <w:tcPr>
            <w:tcW w:type="dxa" w:w="7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A 类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高管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M1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副总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28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35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42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高管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M2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总经理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36.4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45.5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54.6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研发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P1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工程师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25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30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研发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P2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主任工程师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26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32.5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39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销售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S1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销售代表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14.4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18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21.6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销售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S2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销售经理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18.7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23.4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28.1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供应链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P1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专员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12.8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19.2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供应链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P2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供应链总监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16.6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20.8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25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生产一线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O1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班组长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9.6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14.4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生产一线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O2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技师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12.5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15.6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18.7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N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2"/>
              </w:rPr>
              <w:t>生产一线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O3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高级技师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16.2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20.3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24.4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>A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color w:val="595959"/>
          <w:sz w:val="24"/>
        </w:rPr>
        <w:t>带宽率 30%–40%，级差 28%–38%，重叠 25%–35%——符合宽带薪酬设计要求。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五、专项激励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激励类型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对象</w:t>
            </w:r>
          </w:p>
        </w:tc>
        <w:tc>
          <w:tcPr>
            <w:tcW w:type="dxa" w:w="283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池子/规则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触发门槛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兑付节奏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销售提成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销售部 55 人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提成 1.5%，与回款率挂钩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回款率 ≥ 85%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季度核算、年度清算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新产品开发项目奖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研发部</w:t>
            </w:r>
          </w:p>
        </w:tc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项目奖金池按工作量×难易度核算，中心 30% + 项目组 70%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立项审批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项目结算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超额利润分享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核心层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超额利润 × 10%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净利润超目标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年度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技能等级工资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生产一线</w:t>
            </w:r>
          </w:p>
        </w:tc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O1–O3 三级，技能工资占 30%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技能等级评定通过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月度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专项荣誉奖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关键贡献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总经理直批，5 万封顶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一事一议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即时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六、调薪与红线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涨薪必须绑定人效指标：任何调薪申请须回答"这个钱花出去，哪一项人效指标会改善"，答不上来不予批准。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一线固定绝对额不降：生产一线各序列固定工资绝对额不得下调；高层让渡须逐人签书面协议，否则构成变相降薪。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人事费用率红线 12.5%：月度监控，连续两个月超红线，自动冻结招聘与调薪，直至回落。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A 类增量锁定 ≥30%：不得按人头平摊，平摊等于没保。</w:t>
      </w:r>
    </w:p>
    <w:p>
      <w:pPr>
        <w:spacing w:line="360" w:lineRule="auto" w:before="0" w:after="16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编制：人力资源部　　　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审核：＿＿＿＿　　　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批准（总裁）：＿＿＿＿　　　</w:t>
      </w:r>
      <w:r>
        <w:rPr>
          <w:rFonts w:ascii="Microsoft YaHei" w:hAnsi="Microsoft YaHei" w:eastAsia="Microsoft YaHei"/>
          <w:b w:val="0"/>
          <w:i w:val="0"/>
          <w:sz w:val="24"/>
        </w:rPr>
        <w:t>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