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生产一线工人薪酬方案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钱维度 · 一线激励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人工成本 4200 万 / 目标人事费用率 12.5% / A 类增量锁定 ≥30%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一、适用对象与结构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适用于生产制造部一线操作工、班组长、技师、高级技师，共 185 人（占全员 44%）。采用 334 结构：岗位工资 30% + 技能工资 30% + 绩效/计件 40%。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二、薪酬构成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构成项</w:t>
            </w:r>
          </w:p>
        </w:tc>
        <w:tc>
          <w:tcPr>
            <w:tcW w:type="dxa" w:w="102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占比</w:t>
            </w:r>
          </w:p>
        </w:tc>
        <w:tc>
          <w:tcPr>
            <w:tcW w:type="dxa" w:w="283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核算方式</w:t>
            </w:r>
          </w:p>
        </w:tc>
        <w:tc>
          <w:tcPr>
            <w:tcW w:type="dxa" w:w="24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岗位工资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30%</w:t>
            </w:r>
          </w:p>
        </w:tc>
        <w:tc>
          <w:tcPr>
            <w:tcW w:type="dxa" w:w="28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按岗位等级固定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O1/O2/O3 对应不同基数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技能工资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30%</w:t>
            </w:r>
          </w:p>
        </w:tc>
        <w:tc>
          <w:tcPr>
            <w:tcW w:type="dxa" w:w="283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按技能等级（应知应会评定）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等级晋升即调，受比例上限约束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计件 / 绩效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40%</w:t>
            </w:r>
          </w:p>
        </w:tc>
        <w:tc>
          <w:tcPr>
            <w:tcW w:type="dxa" w:w="28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班组计件池二次分配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与个人产量、质量、安全挂钩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三、薪酬带宽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7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等级</w:t>
            </w:r>
          </w:p>
        </w:tc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岗位</w:t>
            </w:r>
          </w:p>
        </w:tc>
        <w:tc>
          <w:tcPr>
            <w:tcW w:type="dxa" w:w="124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下限（万）</w:t>
            </w:r>
          </w:p>
        </w:tc>
        <w:tc>
          <w:tcPr>
            <w:tcW w:type="dxa" w:w="124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中位（万）</w:t>
            </w:r>
          </w:p>
        </w:tc>
        <w:tc>
          <w:tcPr>
            <w:tcW w:type="dxa" w:w="124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上限（万）</w:t>
            </w:r>
          </w:p>
        </w:tc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比例上限</w:t>
            </w:r>
          </w:p>
        </w:tc>
      </w:tr>
      <w:tr>
        <w:tc>
          <w:tcPr>
            <w:tcW w:type="dxa" w:w="79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O3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高级技师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16.2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20.3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24.4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≤10%</w:t>
            </w:r>
          </w:p>
        </w:tc>
      </w:tr>
      <w:tr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O2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技师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12.5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15.6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18.7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≤20%</w:t>
            </w:r>
          </w:p>
        </w:tc>
      </w:tr>
      <w:tr>
        <w:tc>
          <w:tcPr>
            <w:tcW w:type="dxa" w:w="79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O1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班组长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9.6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12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14.4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按编制</w:t>
            </w:r>
          </w:p>
        </w:tc>
      </w:tr>
      <w:tr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—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操作工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—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—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—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—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四、班组计件二次分配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计件池由班组产量 × 计件单价形成，班组内按个人系数二次分配：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系数</w:t>
            </w:r>
          </w:p>
        </w:tc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权重</w:t>
            </w:r>
          </w:p>
        </w:tc>
        <w:tc>
          <w:tcPr>
            <w:tcW w:type="dxa" w:w="5329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产量系数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50%</w:t>
            </w:r>
          </w:p>
        </w:tc>
        <w:tc>
          <w:tcPr>
            <w:tcW w:type="dxa" w:w="532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个人实际产量 / 班组人均产量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质量系数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25%</w:t>
            </w:r>
          </w:p>
        </w:tc>
        <w:tc>
          <w:tcPr>
            <w:tcW w:type="dxa" w:w="5329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个人不良率与班组目标对比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技能系数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15%</w:t>
            </w:r>
          </w:p>
        </w:tc>
        <w:tc>
          <w:tcPr>
            <w:tcW w:type="dxa" w:w="532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O1=1.0 / O2=1.15 / O3=1.3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安全纪律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10%</w:t>
            </w:r>
          </w:p>
        </w:tc>
        <w:tc>
          <w:tcPr>
            <w:tcW w:type="dxa" w:w="5329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违章扣分，0 违章得满分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五、考勤与加班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/>
          <w:i w:val="0"/>
          <w:color w:val="C0392B"/>
          <w:sz w:val="25"/>
        </w:rPr>
        <w:t>合规提醒：加班费须按应发工资（含岗位工资 + 技能工资）为基数计算，不得只按基本工资或最低工资。这是 R3 红色风险，整改后必须执行。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平日加班 1.5 倍、休息日 2 倍、法定节假日 3 倍。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综合计算工时制须先取得人社部门审批（Y3 黄色风险）。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月度加班时长上限 36 小时，超出须报生产总监特批。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考勤与工时数据须员工本人确认，作为加班费核算与争议处理的依据。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2"/>
        </w:rPr>
        <w:t>编制：人力资源部 + 财务部　　审核：财务总监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