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jc w:val="center"/>
        <w:pBdr>
          <w:bottom w:val="single" w:sz="12" w:space="2" w:color="1F3A5F"/>
        </w:pBdr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XXAI原生组织 薪酬福利管理制度</w:t>
      </w:r>
    </w:p>
    <w:p>
      <w:pPr>
        <w:spacing w:line="360" w:lineRule="auto" w:before="0" w:after="40"/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XXAI原生组织　·　钱维度 · 基础制度</w:t>
      </w:r>
    </w:p>
    <w:p>
      <w:pPr>
        <w:spacing w:line="360" w:lineRule="auto" w:before="0" w:after="24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模板依据：制造业演示模板（数据仅供练习）　|　人工成本 4200 万 / 目标人事费用率 12.5% / A 类增量锁定 ≥30%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一、总则</w:t>
      </w:r>
    </w:p>
    <w:p>
      <w:pPr>
        <w:spacing w:line="360" w:lineRule="auto" w:before="0" w:after="80"/>
      </w:pPr>
      <w:r>
        <w:rPr>
          <w:rFonts w:ascii="Microsoft YaHei" w:hAnsi="Microsoft YaHei" w:eastAsia="Microsoft YaHei"/>
          <w:b w:val="0"/>
          <w:i w:val="0"/>
          <w:sz w:val="28"/>
        </w:rPr>
        <w:t>本制度适用于XXAI原生组织全体 420 名员工。薪酬原则：对外有竞争力、对内有公平性、与个人贡献和硬仗结果挂钩。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二、薪酬结构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204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序列</w:t>
            </w:r>
          </w:p>
        </w:tc>
        <w:tc>
          <w:tcPr>
            <w:tcW w:type="dxa" w:w="1020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固定比</w:t>
            </w:r>
          </w:p>
        </w:tc>
        <w:tc>
          <w:tcPr>
            <w:tcW w:type="dxa" w:w="1020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浮动比</w:t>
            </w:r>
          </w:p>
        </w:tc>
        <w:tc>
          <w:tcPr>
            <w:tcW w:type="dxa" w:w="147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岗位价值系数</w:t>
            </w:r>
          </w:p>
        </w:tc>
        <w:tc>
          <w:tcPr>
            <w:tcW w:type="dxa" w:w="158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结果可量化系数</w:t>
            </w:r>
          </w:p>
        </w:tc>
      </w:tr>
      <w:tr>
        <w:tc>
          <w:tcPr>
            <w:tcW w:type="dxa" w:w="204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高管 / 总经办（8 人）</w:t>
            </w:r>
          </w:p>
        </w:tc>
        <w:tc>
          <w:tcPr>
            <w:tcW w:type="dxa" w:w="102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70%</w:t>
            </w:r>
          </w:p>
        </w:tc>
        <w:tc>
          <w:tcPr>
            <w:tcW w:type="dxa" w:w="102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30%</w:t>
            </w:r>
          </w:p>
        </w:tc>
        <w:tc>
          <w:tcPr>
            <w:tcW w:type="dxa" w:w="147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1.0</w:t>
            </w:r>
          </w:p>
        </w:tc>
        <w:tc>
          <w:tcPr>
            <w:tcW w:type="dxa" w:w="158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0.9</w:t>
            </w:r>
          </w:p>
        </w:tc>
      </w:tr>
      <w:tr>
        <w:tc>
          <w:tcPr>
            <w:tcW w:type="dxa" w:w="204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研发（45 人）</w:t>
            </w:r>
          </w:p>
        </w:tc>
        <w:tc>
          <w:tcPr>
            <w:tcW w:type="dxa" w:w="1020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55%</w:t>
            </w:r>
          </w:p>
        </w:tc>
        <w:tc>
          <w:tcPr>
            <w:tcW w:type="dxa" w:w="1020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45%</w:t>
            </w:r>
          </w:p>
        </w:tc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1.2</w:t>
            </w:r>
          </w:p>
        </w:tc>
        <w:tc>
          <w:tcPr>
            <w:tcW w:type="dxa" w:w="158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0.9</w:t>
            </w:r>
          </w:p>
        </w:tc>
      </w:tr>
      <w:tr>
        <w:tc>
          <w:tcPr>
            <w:tcW w:type="dxa" w:w="204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销售（55 人）</w:t>
            </w:r>
          </w:p>
        </w:tc>
        <w:tc>
          <w:tcPr>
            <w:tcW w:type="dxa" w:w="102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50%</w:t>
            </w:r>
          </w:p>
        </w:tc>
        <w:tc>
          <w:tcPr>
            <w:tcW w:type="dxa" w:w="102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50%</w:t>
            </w:r>
          </w:p>
        </w:tc>
        <w:tc>
          <w:tcPr>
            <w:tcW w:type="dxa" w:w="147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1.3</w:t>
            </w:r>
          </w:p>
        </w:tc>
        <w:tc>
          <w:tcPr>
            <w:tcW w:type="dxa" w:w="158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0.9</w:t>
            </w:r>
          </w:p>
        </w:tc>
      </w:tr>
      <w:tr>
        <w:tc>
          <w:tcPr>
            <w:tcW w:type="dxa" w:w="204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供应链（25 人）</w:t>
            </w:r>
          </w:p>
        </w:tc>
        <w:tc>
          <w:tcPr>
            <w:tcW w:type="dxa" w:w="1020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55%</w:t>
            </w:r>
          </w:p>
        </w:tc>
        <w:tc>
          <w:tcPr>
            <w:tcW w:type="dxa" w:w="1020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45%</w:t>
            </w:r>
          </w:p>
        </w:tc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1.1</w:t>
            </w:r>
          </w:p>
        </w:tc>
        <w:tc>
          <w:tcPr>
            <w:tcW w:type="dxa" w:w="158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0.8</w:t>
            </w:r>
          </w:p>
        </w:tc>
      </w:tr>
      <w:tr>
        <w:tc>
          <w:tcPr>
            <w:tcW w:type="dxa" w:w="204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生产一线（185 人）</w:t>
            </w:r>
          </w:p>
        </w:tc>
        <w:tc>
          <w:tcPr>
            <w:tcW w:type="dxa" w:w="102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60%</w:t>
            </w:r>
          </w:p>
        </w:tc>
        <w:tc>
          <w:tcPr>
            <w:tcW w:type="dxa" w:w="102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40%</w:t>
            </w:r>
          </w:p>
        </w:tc>
        <w:tc>
          <w:tcPr>
            <w:tcW w:type="dxa" w:w="147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0.9</w:t>
            </w:r>
          </w:p>
        </w:tc>
        <w:tc>
          <w:tcPr>
            <w:tcW w:type="dxa" w:w="158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0.7</w:t>
            </w:r>
          </w:p>
        </w:tc>
      </w:tr>
      <w:tr>
        <w:tc>
          <w:tcPr>
            <w:tcW w:type="dxa" w:w="204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职能后台（102 人）</w:t>
            </w:r>
          </w:p>
        </w:tc>
        <w:tc>
          <w:tcPr>
            <w:tcW w:type="dxa" w:w="1020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55%</w:t>
            </w:r>
          </w:p>
        </w:tc>
        <w:tc>
          <w:tcPr>
            <w:tcW w:type="dxa" w:w="1020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45%</w:t>
            </w:r>
          </w:p>
        </w:tc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1.0</w:t>
            </w:r>
          </w:p>
        </w:tc>
        <w:tc>
          <w:tcPr>
            <w:tcW w:type="dxa" w:w="158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0.7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三、总包管控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总包倒算：年度人工成本总包 = 目标营收 × 目标人事费用率 = 35000 万 × 12.5% = 4375 万。不得按"去年 + X%"递增。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合规刚性先扣：社保补差、加班费补差等法定刚性成本 140 万先从总包扣除，剩余才用于分配。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红线监控：人事费用率连续两个月超 12.5%，自动冻结招聘与调薪。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A 类锁定：年度增量中不低于 30% 专项用于 A 类 26 人，不得按人头平摊。</w:t>
      </w:r>
    </w:p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四、福利体系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7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福利类别</w:t>
            </w:r>
          </w:p>
        </w:tc>
        <w:tc>
          <w:tcPr>
            <w:tcW w:type="dxa" w:w="362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内容</w:t>
            </w:r>
          </w:p>
        </w:tc>
        <w:tc>
          <w:tcPr>
            <w:tcW w:type="dxa" w:w="249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覆盖对象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法定福利</w:t>
            </w:r>
          </w:p>
        </w:tc>
        <w:tc>
          <w:tcPr>
            <w:tcW w:type="dxa" w:w="36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五险一金、法定节假日、带薪年休假、工伤</w:t>
            </w:r>
          </w:p>
        </w:tc>
        <w:tc>
          <w:tcPr>
            <w:tcW w:type="dxa" w:w="24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全员 420 人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补充福利</w:t>
            </w:r>
          </w:p>
        </w:tc>
        <w:tc>
          <w:tcPr>
            <w:tcW w:type="dxa" w:w="362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年度体检、节日慰问、工作餐、宿舍/补贴</w:t>
            </w:r>
          </w:p>
        </w:tc>
        <w:tc>
          <w:tcPr>
            <w:tcW w:type="dxa" w:w="24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全员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专项福利</w:t>
            </w:r>
          </w:p>
        </w:tc>
        <w:tc>
          <w:tcPr>
            <w:tcW w:type="dxa" w:w="36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技能等级津贴、高温/夜班津贴、工龄津贴</w:t>
            </w:r>
          </w:p>
        </w:tc>
        <w:tc>
          <w:tcPr>
            <w:tcW w:type="dxa" w:w="24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生产一线为主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激励福利</w:t>
            </w:r>
          </w:p>
        </w:tc>
        <w:tc>
          <w:tcPr>
            <w:tcW w:type="dxa" w:w="362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优秀员工旅游、A 类专项保留包、超额利润分享</w:t>
            </w:r>
          </w:p>
        </w:tc>
        <w:tc>
          <w:tcPr>
            <w:tcW w:type="dxa" w:w="24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考核优秀者 / A 类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五、发放与调整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发放日：每月 15 日发放上月工资，遇节假日提前。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调薪窗口：每年 4 月集中调薪一次，特殊调薪须经总裁批准。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调薪依据：考核结果 + 人效指标改善 + 市场分位，三者缺一不可。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一线固定工资绝对额不降；高层让渡须逐人签书面协议。</w:t>
      </w:r>
    </w:p>
    <w:p>
      <w:pPr>
        <w:spacing w:line="360" w:lineRule="auto" w:before="0" w:after="80"/>
      </w:pPr>
    </w:p>
    <w:p>
      <w:pPr>
        <w:spacing w:before="240"/>
      </w:pPr>
      <w:r>
        <w:rPr>
          <w:rFonts w:ascii="Microsoft YaHei" w:hAnsi="Microsoft YaHei" w:eastAsia="Microsoft YaHei"/>
          <w:b w:val="0"/>
          <w:i w:val="0"/>
          <w:sz w:val="22"/>
        </w:rPr>
        <w:t>编制：人力资源部 + 财务部　　审核：财务总监　　批准（总裁）：＿＿＿＿　　日期：＿＿年＿＿月＿＿日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