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产品研发技改岗薪酬激励方案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钱维度 · 专项激励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人工成本 4200 万 / 目标人事费用率 12.5% / A 类增量锁定 ≥30%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一、适用对象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研发部主导工艺改进、成本降低、效率提升的技改项目团队，含结构设计、电控、软件、工艺工程等岗位，约 45 人。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二、技改项目定义与立项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类别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定义</w:t>
            </w:r>
          </w:p>
        </w:tc>
        <w:tc>
          <w:tcPr>
            <w:tcW w:type="dxa" w:w="374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举例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降本类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单位制造成本下降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材料替代、结构简化、良率提升</w:t>
            </w:r>
          </w:p>
        </w:tc>
      </w:tr>
      <w:tr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提效类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工时/周期下降</w:t>
            </w:r>
          </w:p>
        </w:tc>
        <w:tc>
          <w:tcPr>
            <w:tcW w:type="dxa" w:w="374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成型周期缩短、自动化替代</w:t>
            </w:r>
          </w:p>
        </w:tc>
      </w:tr>
      <w:tr>
        <w:tc>
          <w:tcPr>
            <w:tcW w:type="dxa" w:w="124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提质类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不良率/客诉下降</w:t>
            </w:r>
          </w:p>
        </w:tc>
        <w:tc>
          <w:tcPr>
            <w:tcW w:type="dxa" w:w="374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模具优化、工艺参数标准化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三、激励标准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年化收益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提取比例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团队分配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≤ 30 万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8%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70% 团队 / 30% 部门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小额快奖，季度兑现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30 – 100 万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6%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75% 团队 / 25% 部门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年度核算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≥ 100 万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4%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80% 团队 / 20% 部门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设上限，单个项目封顶 20 万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四、收益确认与兑付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收益须经财务确认，以项目实施后 12 个月的实际节约额为准。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兑付节奏：确认后发放 60%，满 12 个月且收益持续的发放剩余 40%。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团队内部分配由项目经理提出、研发总监审核、HR 备案，结果须公示。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技改成果须形成标准文件（作业标准、参数表、图纸），否则不予兑付——收益要能沉淀下来。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2"/>
        </w:rPr>
        <w:t>编制：人力资源部 + 财务部　　审核：财务总监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