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行政文员岗位薪酬方案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岗位薪酬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一、岗位与编制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行政文员属职能支持序列 A 类，位于行政/IT 部。该部门现有 18 人，AI 控编后降至 11 人——本岗位 A 类（可全替代）事务占比高，留任人员须完成能力转型。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二、薪酬结构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年度总现金（万）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固定比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浮动比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A1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文员 / 专员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 – 9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A2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高级专员 / 主管助理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 – 14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75%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A3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行政主管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 – 20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三、浮动考核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考核项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任务达成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交办事项按时完成率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服务质量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内部客户满意度评价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流程优化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改善提案数与采纳数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合规与准确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档案、数据、报销等差错率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四、AI 转型要求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被替代事务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转型方向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新能力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文档排版、纪要整理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数据分析与报表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AI 工具、Excel 进阶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考勤统计、用品领用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员工服务与活动组织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沟通协调、活动策划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档案整理、信息录入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合规留痕与制度管理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劳动法基础、档案规范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留任人员须在 6 个月内完成至少 1 项新能力认证，未完成的在下一轮控编中优先调整。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