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2BBA9E">
      <w:pPr>
        <w:pBdr>
          <w:bottom w:val="single" w:color="1F3A5F" w:sz="12" w:space="2"/>
        </w:pBdr>
        <w:spacing w:before="0" w:after="120" w:line="360" w:lineRule="auto"/>
        <w:jc w:val="center"/>
      </w:pPr>
      <w:r>
        <w:rPr>
          <w:rFonts w:ascii="微软雅黑" w:hAnsi="微软雅黑" w:eastAsia="微软雅黑"/>
          <w:b/>
          <w:i w:val="0"/>
          <w:color w:val="1F3A5F"/>
          <w:sz w:val="36"/>
        </w:rPr>
        <w:t>XXAI原生组织 生产岗位外包方案</w:t>
      </w:r>
    </w:p>
    <w:p w14:paraId="7D35B758">
      <w:pPr>
        <w:spacing w:before="0" w:after="40" w:line="360" w:lineRule="auto"/>
        <w:jc w:val="center"/>
      </w:pPr>
      <w:r>
        <w:rPr>
          <w:rFonts w:ascii="微软雅黑" w:hAnsi="微软雅黑" w:eastAsia="微软雅黑"/>
          <w:b/>
          <w:i w:val="0"/>
          <w:color w:val="C0392B"/>
          <w:sz w:val="26"/>
        </w:rPr>
        <w:t>XXAI原生组织　·　险维度 · 用工模式</w:t>
      </w:r>
    </w:p>
    <w:p w14:paraId="3240783A">
      <w:pPr>
        <w:spacing w:before="0" w:after="24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21"/>
        </w:rPr>
        <w:t>模板依据：制造业演示模板（数据仅供练习）　|　红 3 / 黄 5 / 绿 1　|　敞口 523–1074 万　|　整改预算 140 万</w:t>
      </w:r>
    </w:p>
    <w:p w14:paraId="5CCB6241">
      <w:pPr>
        <w:spacing w:before="240" w:after="100" w:line="360" w:lineRule="auto"/>
      </w:pPr>
      <w:r>
        <w:rPr>
          <w:rFonts w:ascii="微软雅黑" w:hAnsi="微软雅黑" w:eastAsia="微软雅黑"/>
          <w:b/>
          <w:i w:val="0"/>
          <w:color w:val="0F6E56"/>
          <w:sz w:val="30"/>
        </w:rPr>
        <w:t>一、背景与目的</w:t>
      </w:r>
    </w:p>
    <w:p w14:paraId="33E6132E">
      <w:pPr>
        <w:spacing w:before="0" w:after="80" w:line="360" w:lineRule="auto"/>
      </w:pPr>
      <w:r>
        <w:rPr>
          <w:rFonts w:ascii="微软雅黑" w:hAnsi="微软雅黑" w:eastAsia="微软雅黑"/>
          <w:b w:val="0"/>
          <w:i w:val="0"/>
          <w:sz w:val="28"/>
        </w:rPr>
        <w:t>XXAI原生组织现有劳务派遣 50 人，占用工总量 11.9%，超过《劳务派遣暂行规定》10% 的法定红线（Y1 黄色风险）。同时后勤岗位（食堂、保洁、绿化）11 人属非核心业务。本方案通过业务外包替代劳务派遣，既解决派遣超比例问题，又降低用工风险。</w:t>
      </w:r>
    </w:p>
    <w:p w14:paraId="603CC7AE">
      <w:pPr>
        <w:spacing w:before="240" w:after="100" w:line="360" w:lineRule="auto"/>
      </w:pPr>
      <w:r>
        <w:rPr>
          <w:rFonts w:ascii="微软雅黑" w:hAnsi="微软雅黑" w:eastAsia="微软雅黑"/>
          <w:b/>
          <w:i w:val="0"/>
          <w:color w:val="0F6E56"/>
          <w:sz w:val="30"/>
        </w:rPr>
        <w:t>二、外包范围</w:t>
      </w:r>
    </w:p>
    <w:tbl>
      <w:tblPr>
        <w:tblStyle w:val="33"/>
        <w:tblW w:w="96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6"/>
        <w:gridCol w:w="2586"/>
        <w:gridCol w:w="1020"/>
        <w:gridCol w:w="3452"/>
        <w:gridCol w:w="1144"/>
      </w:tblGrid>
      <w:tr w14:paraId="3F2BF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426" w:type="dxa"/>
            <w:shd w:val="clear" w:color="auto" w:fill="1F3A5F"/>
            <w:vAlign w:val="center"/>
          </w:tcPr>
          <w:p w14:paraId="169CE52E">
            <w:pPr>
              <w:snapToGrid w:val="0"/>
              <w:spacing w:before="40" w:after="4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3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3"/>
              </w:rPr>
              <w:t>类别</w:t>
            </w:r>
          </w:p>
        </w:tc>
        <w:tc>
          <w:tcPr>
            <w:tcW w:w="2586" w:type="dxa"/>
            <w:shd w:val="clear" w:color="auto" w:fill="1F3A5F"/>
            <w:vAlign w:val="center"/>
          </w:tcPr>
          <w:p w14:paraId="05C2E409">
            <w:pPr>
              <w:snapToGrid w:val="0"/>
              <w:spacing w:before="40" w:after="4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3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3"/>
              </w:rPr>
              <w:t>岗位</w:t>
            </w:r>
          </w:p>
        </w:tc>
        <w:tc>
          <w:tcPr>
            <w:tcW w:w="1020" w:type="dxa"/>
            <w:shd w:val="clear" w:color="auto" w:fill="1F3A5F"/>
            <w:vAlign w:val="center"/>
          </w:tcPr>
          <w:p w14:paraId="219E3B08">
            <w:pPr>
              <w:snapToGrid w:val="0"/>
              <w:spacing w:before="40" w:after="4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3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3"/>
              </w:rPr>
              <w:t>人数</w:t>
            </w:r>
          </w:p>
        </w:tc>
        <w:tc>
          <w:tcPr>
            <w:tcW w:w="3452" w:type="dxa"/>
            <w:shd w:val="clear" w:color="auto" w:fill="1F3A5F"/>
            <w:vAlign w:val="center"/>
          </w:tcPr>
          <w:p w14:paraId="08BB9DA8">
            <w:pPr>
              <w:snapToGrid w:val="0"/>
              <w:spacing w:before="40" w:after="4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3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3"/>
              </w:rPr>
              <w:t>外包方式</w:t>
            </w:r>
          </w:p>
        </w:tc>
        <w:tc>
          <w:tcPr>
            <w:tcW w:w="1143" w:type="dxa"/>
            <w:shd w:val="clear" w:color="auto" w:fill="1F3A5F"/>
            <w:vAlign w:val="center"/>
          </w:tcPr>
          <w:p w14:paraId="5EC248C7">
            <w:pPr>
              <w:snapToGrid w:val="0"/>
              <w:spacing w:before="40" w:after="4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3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3"/>
              </w:rPr>
              <w:t>时点</w:t>
            </w:r>
          </w:p>
        </w:tc>
      </w:tr>
      <w:tr w14:paraId="6A7FF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6" w:type="dxa"/>
            <w:vAlign w:val="center"/>
          </w:tcPr>
          <w:p w14:paraId="15B640A5">
            <w:pPr>
              <w:snapToGrid w:val="0"/>
              <w:spacing w:before="40" w:after="4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3"/>
              </w:rPr>
            </w:pPr>
            <w:r>
              <w:rPr>
                <w:rFonts w:ascii="微软雅黑" w:hAnsi="微软雅黑" w:eastAsia="微软雅黑"/>
                <w:b/>
                <w:i w:val="0"/>
                <w:sz w:val="23"/>
              </w:rPr>
              <w:t>后勤保障</w:t>
            </w:r>
          </w:p>
        </w:tc>
        <w:tc>
          <w:tcPr>
            <w:tcW w:w="2586" w:type="dxa"/>
            <w:vAlign w:val="center"/>
          </w:tcPr>
          <w:p w14:paraId="3040D266">
            <w:pPr>
              <w:snapToGrid w:val="0"/>
              <w:spacing w:before="40" w:after="4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3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23"/>
              </w:rPr>
              <w:t>食堂、保洁、绿化</w:t>
            </w:r>
          </w:p>
        </w:tc>
        <w:tc>
          <w:tcPr>
            <w:tcW w:w="1020" w:type="dxa"/>
            <w:vAlign w:val="center"/>
          </w:tcPr>
          <w:p w14:paraId="3D1DAC2F">
            <w:pPr>
              <w:snapToGrid w:val="0"/>
              <w:spacing w:before="40" w:after="4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3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23"/>
              </w:rPr>
              <w:t>11</w:t>
            </w:r>
          </w:p>
        </w:tc>
        <w:tc>
          <w:tcPr>
            <w:tcW w:w="3452" w:type="dxa"/>
            <w:vAlign w:val="center"/>
          </w:tcPr>
          <w:p w14:paraId="7C5D17E0">
            <w:pPr>
              <w:snapToGrid w:val="0"/>
              <w:spacing w:before="40" w:after="4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3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23"/>
              </w:rPr>
              <w:t>整体外包给专业服务公司</w:t>
            </w:r>
          </w:p>
        </w:tc>
        <w:tc>
          <w:tcPr>
            <w:tcW w:w="1143" w:type="dxa"/>
            <w:vAlign w:val="center"/>
          </w:tcPr>
          <w:p w14:paraId="5A4D6ED3">
            <w:pPr>
              <w:snapToGrid w:val="0"/>
              <w:spacing w:before="40" w:after="4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3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23"/>
              </w:rPr>
              <w:t>Q1</w:t>
            </w:r>
          </w:p>
        </w:tc>
      </w:tr>
      <w:tr w14:paraId="4CB84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6" w:type="dxa"/>
            <w:shd w:val="clear" w:color="auto" w:fill="F4F6F9"/>
            <w:vAlign w:val="center"/>
          </w:tcPr>
          <w:p w14:paraId="709A29DD">
            <w:pPr>
              <w:snapToGrid w:val="0"/>
              <w:spacing w:before="40" w:after="4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3"/>
              </w:rPr>
            </w:pPr>
            <w:r>
              <w:rPr>
                <w:rFonts w:ascii="微软雅黑" w:hAnsi="微软雅黑" w:eastAsia="微软雅黑"/>
                <w:b/>
                <w:i w:val="0"/>
                <w:sz w:val="23"/>
              </w:rPr>
              <w:t>辅助工序</w:t>
            </w:r>
          </w:p>
        </w:tc>
        <w:tc>
          <w:tcPr>
            <w:tcW w:w="2586" w:type="dxa"/>
            <w:shd w:val="clear" w:color="auto" w:fill="F4F6F9"/>
            <w:vAlign w:val="center"/>
          </w:tcPr>
          <w:p w14:paraId="295C2866">
            <w:pPr>
              <w:snapToGrid w:val="0"/>
              <w:spacing w:before="40" w:after="4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3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23"/>
              </w:rPr>
              <w:t>包装、搬运、分拣</w:t>
            </w:r>
          </w:p>
        </w:tc>
        <w:tc>
          <w:tcPr>
            <w:tcW w:w="1020" w:type="dxa"/>
            <w:shd w:val="clear" w:color="auto" w:fill="F4F6F9"/>
            <w:vAlign w:val="center"/>
          </w:tcPr>
          <w:p w14:paraId="330F9E77">
            <w:pPr>
              <w:snapToGrid w:val="0"/>
              <w:spacing w:before="40" w:after="4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3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23"/>
              </w:rPr>
              <w:t>约 20</w:t>
            </w:r>
          </w:p>
        </w:tc>
        <w:tc>
          <w:tcPr>
            <w:tcW w:w="3452" w:type="dxa"/>
            <w:shd w:val="clear" w:color="auto" w:fill="F4F6F9"/>
            <w:vAlign w:val="center"/>
          </w:tcPr>
          <w:p w14:paraId="4C389997">
            <w:pPr>
              <w:snapToGrid w:val="0"/>
              <w:spacing w:before="40" w:after="4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3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23"/>
              </w:rPr>
              <w:t>劳务外包（按件计酬）</w:t>
            </w:r>
          </w:p>
        </w:tc>
        <w:tc>
          <w:tcPr>
            <w:tcW w:w="1143" w:type="dxa"/>
            <w:shd w:val="clear" w:color="auto" w:fill="F4F6F9"/>
            <w:vAlign w:val="center"/>
          </w:tcPr>
          <w:p w14:paraId="4AC7747C">
            <w:pPr>
              <w:snapToGrid w:val="0"/>
              <w:spacing w:before="40" w:after="4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3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23"/>
              </w:rPr>
              <w:t>Q2</w:t>
            </w:r>
          </w:p>
        </w:tc>
      </w:tr>
      <w:tr w14:paraId="3EEBF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6" w:type="dxa"/>
            <w:vAlign w:val="center"/>
          </w:tcPr>
          <w:p w14:paraId="35A5FDD8">
            <w:pPr>
              <w:snapToGrid w:val="0"/>
              <w:spacing w:before="40" w:after="4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3"/>
              </w:rPr>
            </w:pPr>
            <w:r>
              <w:rPr>
                <w:rFonts w:ascii="微软雅黑" w:hAnsi="微软雅黑" w:eastAsia="微软雅黑"/>
                <w:b/>
                <w:i w:val="0"/>
                <w:sz w:val="23"/>
              </w:rPr>
              <w:t>峰值补充</w:t>
            </w:r>
          </w:p>
        </w:tc>
        <w:tc>
          <w:tcPr>
            <w:tcW w:w="2586" w:type="dxa"/>
            <w:vAlign w:val="center"/>
          </w:tcPr>
          <w:p w14:paraId="45F33890">
            <w:pPr>
              <w:snapToGrid w:val="0"/>
              <w:spacing w:before="40" w:after="4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3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23"/>
              </w:rPr>
              <w:t>旺季临时增员</w:t>
            </w:r>
          </w:p>
        </w:tc>
        <w:tc>
          <w:tcPr>
            <w:tcW w:w="1020" w:type="dxa"/>
            <w:vAlign w:val="center"/>
          </w:tcPr>
          <w:p w14:paraId="5DB13814">
            <w:pPr>
              <w:snapToGrid w:val="0"/>
              <w:spacing w:before="40" w:after="4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3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23"/>
              </w:rPr>
              <w:t>按需</w:t>
            </w:r>
          </w:p>
        </w:tc>
        <w:tc>
          <w:tcPr>
            <w:tcW w:w="3452" w:type="dxa"/>
            <w:vAlign w:val="center"/>
          </w:tcPr>
          <w:p w14:paraId="08E4D693">
            <w:pPr>
              <w:snapToGrid w:val="0"/>
              <w:spacing w:before="40" w:after="4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3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23"/>
              </w:rPr>
              <w:t>外包公司灵活调配</w:t>
            </w:r>
          </w:p>
        </w:tc>
        <w:tc>
          <w:tcPr>
            <w:tcW w:w="1143" w:type="dxa"/>
            <w:vAlign w:val="center"/>
          </w:tcPr>
          <w:p w14:paraId="2A674948">
            <w:pPr>
              <w:snapToGrid w:val="0"/>
              <w:spacing w:before="40" w:after="4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3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23"/>
              </w:rPr>
              <w:t>旺季前</w:t>
            </w:r>
          </w:p>
        </w:tc>
      </w:tr>
    </w:tbl>
    <w:p w14:paraId="46060520">
      <w:pPr>
        <w:spacing w:before="0" w:after="80" w:line="360" w:lineRule="auto"/>
      </w:pPr>
    </w:p>
    <w:p w14:paraId="316C93A1">
      <w:pPr>
        <w:spacing w:before="240" w:after="100" w:line="360" w:lineRule="auto"/>
      </w:pPr>
      <w:r>
        <w:rPr>
          <w:rFonts w:ascii="微软雅黑" w:hAnsi="微软雅黑" w:eastAsia="微软雅黑"/>
          <w:b/>
          <w:i w:val="0"/>
          <w:color w:val="0F6E56"/>
          <w:sz w:val="30"/>
        </w:rPr>
        <w:t>三、派遣转外包的实施路径</w:t>
      </w:r>
    </w:p>
    <w:tbl>
      <w:tblPr>
        <w:tblStyle w:val="33"/>
        <w:tblW w:w="996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3"/>
        <w:gridCol w:w="4578"/>
        <w:gridCol w:w="3951"/>
      </w:tblGrid>
      <w:tr w14:paraId="0A2F8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33" w:type="dxa"/>
            <w:shd w:val="clear" w:color="auto" w:fill="1F3A5F"/>
            <w:vAlign w:val="center"/>
          </w:tcPr>
          <w:p w14:paraId="4E5042C4">
            <w:pPr>
              <w:keepNext/>
              <w:snapToGrid w:val="0"/>
              <w:spacing w:before="40" w:after="4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3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3"/>
              </w:rPr>
              <w:t>阶段</w:t>
            </w:r>
          </w:p>
        </w:tc>
        <w:tc>
          <w:tcPr>
            <w:tcW w:w="4578" w:type="dxa"/>
            <w:shd w:val="clear" w:color="auto" w:fill="1F3A5F"/>
            <w:vAlign w:val="center"/>
          </w:tcPr>
          <w:p w14:paraId="6A6E897B">
            <w:pPr>
              <w:keepNext/>
              <w:snapToGrid w:val="0"/>
              <w:spacing w:before="40" w:after="4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3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3"/>
              </w:rPr>
              <w:t>动作</w:t>
            </w:r>
          </w:p>
        </w:tc>
        <w:tc>
          <w:tcPr>
            <w:tcW w:w="3951" w:type="dxa"/>
            <w:shd w:val="clear" w:color="auto" w:fill="1F3A5F"/>
            <w:vAlign w:val="center"/>
          </w:tcPr>
          <w:p w14:paraId="6DF8907E">
            <w:pPr>
              <w:keepNext/>
              <w:snapToGrid w:val="0"/>
              <w:spacing w:before="40" w:after="4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3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3"/>
              </w:rPr>
              <w:t>风险控制</w:t>
            </w:r>
          </w:p>
        </w:tc>
      </w:tr>
      <w:tr w14:paraId="519AD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3" w:type="dxa"/>
            <w:vAlign w:val="center"/>
          </w:tcPr>
          <w:p w14:paraId="59B16CC9">
            <w:pPr>
              <w:keepNext/>
              <w:snapToGrid w:val="0"/>
              <w:spacing w:before="40" w:after="4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3"/>
              </w:rPr>
            </w:pPr>
            <w:r>
              <w:rPr>
                <w:rFonts w:ascii="微软雅黑" w:hAnsi="微软雅黑" w:eastAsia="微软雅黑"/>
                <w:b/>
                <w:i w:val="0"/>
                <w:sz w:val="23"/>
              </w:rPr>
              <w:t>① 摸底</w:t>
            </w:r>
          </w:p>
        </w:tc>
        <w:tc>
          <w:tcPr>
            <w:tcW w:w="4578" w:type="dxa"/>
            <w:vAlign w:val="center"/>
          </w:tcPr>
          <w:p w14:paraId="1022AC99">
            <w:pPr>
              <w:keepNext/>
              <w:snapToGrid w:val="0"/>
              <w:spacing w:before="40" w:after="4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3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23"/>
              </w:rPr>
              <w:t>统计现有派遣 50 人的岗位、司龄、合同期限</w:t>
            </w:r>
          </w:p>
        </w:tc>
        <w:tc>
          <w:tcPr>
            <w:tcW w:w="3951" w:type="dxa"/>
            <w:vAlign w:val="center"/>
          </w:tcPr>
          <w:p w14:paraId="3DA13296">
            <w:pPr>
              <w:keepNext/>
              <w:snapToGrid w:val="0"/>
              <w:spacing w:before="40" w:after="4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3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23"/>
              </w:rPr>
              <w:t>不得在孕期、产期、医疗期内退回</w:t>
            </w:r>
          </w:p>
        </w:tc>
      </w:tr>
      <w:tr w14:paraId="0DB44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3" w:type="dxa"/>
            <w:shd w:val="clear" w:color="auto" w:fill="F4F6F9"/>
            <w:vAlign w:val="center"/>
          </w:tcPr>
          <w:p w14:paraId="31E9D89A">
            <w:pPr>
              <w:keepNext/>
              <w:snapToGrid w:val="0"/>
              <w:spacing w:before="40" w:after="4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3"/>
              </w:rPr>
            </w:pPr>
            <w:r>
              <w:rPr>
                <w:rFonts w:ascii="微软雅黑" w:hAnsi="微软雅黑" w:eastAsia="微软雅黑"/>
                <w:b/>
                <w:i w:val="0"/>
                <w:sz w:val="23"/>
              </w:rPr>
              <w:t>② 分批</w:t>
            </w:r>
          </w:p>
        </w:tc>
        <w:tc>
          <w:tcPr>
            <w:tcW w:w="4578" w:type="dxa"/>
            <w:shd w:val="clear" w:color="auto" w:fill="F4F6F9"/>
            <w:vAlign w:val="center"/>
          </w:tcPr>
          <w:p w14:paraId="7E580ADA">
            <w:pPr>
              <w:keepNext/>
              <w:snapToGrid w:val="0"/>
              <w:spacing w:before="40" w:after="4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3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23"/>
              </w:rPr>
              <w:t>按派遣协议到期时间分批退回，每批不超过 15 人</w:t>
            </w:r>
          </w:p>
        </w:tc>
        <w:tc>
          <w:tcPr>
            <w:tcW w:w="3951" w:type="dxa"/>
            <w:shd w:val="clear" w:color="auto" w:fill="F4F6F9"/>
            <w:vAlign w:val="center"/>
          </w:tcPr>
          <w:p w14:paraId="171CDC31">
            <w:pPr>
              <w:keepNext/>
              <w:snapToGrid w:val="0"/>
              <w:spacing w:before="40" w:after="4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3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23"/>
              </w:rPr>
              <w:t>避免集中退回引发群体争议</w:t>
            </w:r>
          </w:p>
        </w:tc>
      </w:tr>
      <w:tr w14:paraId="01AA1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3" w:type="dxa"/>
            <w:vAlign w:val="center"/>
          </w:tcPr>
          <w:p w14:paraId="18F7680C">
            <w:pPr>
              <w:keepNext/>
              <w:snapToGrid w:val="0"/>
              <w:spacing w:before="40" w:after="4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3"/>
              </w:rPr>
            </w:pPr>
            <w:r>
              <w:rPr>
                <w:rFonts w:ascii="微软雅黑" w:hAnsi="微软雅黑" w:eastAsia="微软雅黑"/>
                <w:b/>
                <w:i w:val="0"/>
                <w:sz w:val="23"/>
              </w:rPr>
              <w:t>③ 转外包</w:t>
            </w:r>
          </w:p>
        </w:tc>
        <w:tc>
          <w:tcPr>
            <w:tcW w:w="4578" w:type="dxa"/>
            <w:vAlign w:val="center"/>
          </w:tcPr>
          <w:p w14:paraId="688A583E">
            <w:pPr>
              <w:keepNext/>
              <w:snapToGrid w:val="0"/>
              <w:spacing w:before="40" w:after="4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3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23"/>
              </w:rPr>
              <w:t>退回岗位由外包公司承接，优先录用原派遣人员</w:t>
            </w:r>
          </w:p>
        </w:tc>
        <w:tc>
          <w:tcPr>
            <w:tcW w:w="3951" w:type="dxa"/>
            <w:vAlign w:val="center"/>
          </w:tcPr>
          <w:p w14:paraId="506CE985">
            <w:pPr>
              <w:keepNext/>
              <w:snapToGrid w:val="0"/>
              <w:spacing w:before="40" w:after="4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3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23"/>
              </w:rPr>
              <w:t>写明"不视为连续用工"，避免被认定事实劳动关系</w:t>
            </w:r>
          </w:p>
        </w:tc>
      </w:tr>
      <w:tr w14:paraId="2E90D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3" w:type="dxa"/>
            <w:shd w:val="clear" w:color="auto" w:fill="F4F6F9"/>
            <w:vAlign w:val="center"/>
          </w:tcPr>
          <w:p w14:paraId="1C3F9CD1">
            <w:pPr>
              <w:keepNext/>
              <w:snapToGrid w:val="0"/>
              <w:spacing w:before="40" w:after="4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3"/>
              </w:rPr>
            </w:pPr>
            <w:r>
              <w:rPr>
                <w:rFonts w:ascii="微软雅黑" w:hAnsi="微软雅黑" w:eastAsia="微软雅黑"/>
                <w:b/>
                <w:i w:val="0"/>
                <w:sz w:val="23"/>
              </w:rPr>
              <w:t>④ 达标</w:t>
            </w:r>
          </w:p>
        </w:tc>
        <w:tc>
          <w:tcPr>
            <w:tcW w:w="4578" w:type="dxa"/>
            <w:shd w:val="clear" w:color="auto" w:fill="F4F6F9"/>
            <w:vAlign w:val="center"/>
          </w:tcPr>
          <w:p w14:paraId="30DE2EBC">
            <w:pPr>
              <w:keepNext/>
              <w:snapToGrid w:val="0"/>
              <w:spacing w:before="40" w:after="4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3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23"/>
              </w:rPr>
              <w:t>派遣占比降至 ≤10%，优先录用原派遣人员</w:t>
            </w:r>
          </w:p>
        </w:tc>
        <w:tc>
          <w:tcPr>
            <w:tcW w:w="3951" w:type="dxa"/>
            <w:shd w:val="clear" w:color="auto" w:fill="F4F6F9"/>
            <w:vAlign w:val="center"/>
          </w:tcPr>
          <w:p w14:paraId="6F591835">
            <w:pPr>
              <w:keepNext/>
              <w:snapToGrid w:val="0"/>
              <w:spacing w:before="40" w:after="4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3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23"/>
              </w:rPr>
              <w:t>留存外包协议与结算凭证</w:t>
            </w:r>
          </w:p>
        </w:tc>
      </w:tr>
    </w:tbl>
    <w:p w14:paraId="0E52B270">
      <w:pPr>
        <w:spacing w:before="0" w:after="80" w:line="360" w:lineRule="auto"/>
      </w:pPr>
      <w:bookmarkStart w:id="0" w:name="_GoBack"/>
      <w:bookmarkEnd w:id="0"/>
    </w:p>
    <w:p w14:paraId="75549D1E">
      <w:pPr>
        <w:spacing w:before="240" w:after="100" w:line="360" w:lineRule="auto"/>
      </w:pPr>
      <w:r>
        <w:rPr>
          <w:rFonts w:ascii="微软雅黑" w:hAnsi="微软雅黑" w:eastAsia="微软雅黑"/>
          <w:b/>
          <w:i w:val="0"/>
          <w:color w:val="0F6E56"/>
          <w:sz w:val="30"/>
        </w:rPr>
        <w:t>四、合规红线</w:t>
      </w:r>
    </w:p>
    <w:p w14:paraId="6C4E6765">
      <w:pPr>
        <w:spacing w:before="0" w:after="40" w:line="360" w:lineRule="auto"/>
        <w:ind w:left="280"/>
      </w:pPr>
      <w:r>
        <w:rPr>
          <w:rFonts w:ascii="微软雅黑" w:hAnsi="微软雅黑" w:eastAsia="微软雅黑"/>
          <w:b w:val="0"/>
          <w:i w:val="0"/>
          <w:sz w:val="28"/>
        </w:rPr>
        <w:t>· 假外包真派遣：外包公司须真正管理人员、承担用工风险，不得由公司直接考勤、直接发工资。否则仍会被认定为劳务派遣，比例问题依然存在。</w:t>
      </w:r>
    </w:p>
    <w:p w14:paraId="5BE0E68A">
      <w:pPr>
        <w:spacing w:before="0" w:after="40" w:line="360" w:lineRule="auto"/>
        <w:ind w:left="280"/>
      </w:pPr>
      <w:r>
        <w:rPr>
          <w:rFonts w:ascii="微软雅黑" w:hAnsi="微软雅黑" w:eastAsia="微软雅黑"/>
          <w:b w:val="0"/>
          <w:i w:val="0"/>
          <w:sz w:val="28"/>
        </w:rPr>
        <w:t>· 外包公司资质：须核查营业执照、相关资质与社保缴纳记录。</w:t>
      </w:r>
    </w:p>
    <w:p w14:paraId="3A661827">
      <w:pPr>
        <w:spacing w:before="0" w:after="40" w:line="360" w:lineRule="auto"/>
        <w:ind w:left="280"/>
      </w:pPr>
      <w:r>
        <w:rPr>
          <w:rFonts w:ascii="微软雅黑" w:hAnsi="微软雅黑" w:eastAsia="微软雅黑"/>
          <w:b w:val="0"/>
          <w:i w:val="0"/>
          <w:sz w:val="28"/>
        </w:rPr>
        <w:t>· 安全责任：外包人员进场须完成三级安全教育，安全责任在协议中明确划分。</w:t>
      </w:r>
    </w:p>
    <w:p w14:paraId="056DC7B8">
      <w:pPr>
        <w:spacing w:before="0" w:after="40" w:line="360" w:lineRule="auto"/>
        <w:ind w:left="280"/>
      </w:pPr>
      <w:r>
        <w:rPr>
          <w:rFonts w:ascii="微软雅黑" w:hAnsi="微软雅黑" w:eastAsia="微软雅黑"/>
          <w:b w:val="0"/>
          <w:i w:val="0"/>
          <w:sz w:val="28"/>
        </w:rPr>
        <w:t>· 质量责任：外包工序的质量标准与验收方式须写入外包协议。</w:t>
      </w:r>
    </w:p>
    <w:p w14:paraId="0AAC831A">
      <w:pPr>
        <w:spacing w:before="0" w:after="80" w:line="360" w:lineRule="auto"/>
      </w:pPr>
    </w:p>
    <w:p w14:paraId="4E000B89">
      <w:pPr>
        <w:spacing w:before="240"/>
      </w:pPr>
      <w:r>
        <w:rPr>
          <w:rFonts w:ascii="微软雅黑" w:hAnsi="微软雅黑" w:eastAsia="微软雅黑"/>
          <w:b w:val="0"/>
          <w:i w:val="0"/>
          <w:sz w:val="23"/>
        </w:rPr>
        <w:t>编制：人力资源部 + 法务　　审核：HRD　　批准（总裁）：＿＿＿＿　　日期：＿＿年＿＿月＿＿日</w:t>
      </w: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8574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60" w:lineRule="auto"/>
    </w:pPr>
    <w:rPr>
      <w:rFonts w:ascii="微软雅黑" w:hAnsi="微软雅黑" w:eastAsia="微软雅黑" w:cstheme="minorBidi"/>
      <w:sz w:val="2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647</Words>
  <Characters>676</Characters>
  <Lines>0</Lines>
  <Paragraphs>0</Paragraphs>
  <TotalTime>0</TotalTime>
  <ScaleCrop>false</ScaleCrop>
  <LinksUpToDate>false</LinksUpToDate>
  <CharactersWithSpaces>727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/>
  <dcterms:modified xsi:type="dcterms:W3CDTF">2026-08-31T08:06:08Z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eyJoZGlkIjoiMzEwNTM5NzYwMDRjMzkwZTVkZjY2ODkwMGIxNGU0OTUiLCJ1c2VySWQiOiIxODE0MTQ1NDUxIn0=</vt:lpwstr>
  </property>
  <property fmtid="{D5CDD505-2E9C-101B-9397-08002B2CF9AE}" pid="3" name="KSOProductBuildVer">
    <vt:lpwstr>2052-12.1.0.28043</vt:lpwstr>
  </property>
  <property fmtid="{D5CDD505-2E9C-101B-9397-08002B2CF9AE}" pid="4" name="ICV">
    <vt:lpwstr>3B2EEAAD736F49F5AD73A4BDE3F53C86_12</vt:lpwstr>
  </property>
</Properties>
</file>