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用工合规检查清单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险维度 · 自查工具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红 3 / 黄 5 / 绿 1　|　敞口 523–1074 万　|　整改预算 140 万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一、使用说明</w:t>
      </w:r>
    </w:p>
    <w:p>
      <w:pPr>
        <w:spacing w:line="360" w:lineRule="auto" w:before="0" w:after="80"/>
      </w:pPr>
      <w:r>
        <w:rPr>
          <w:rFonts w:ascii="Microsoft YaHei" w:hAnsi="Microsoft YaHei" w:eastAsia="Microsoft YaHei"/>
          <w:b w:val="0"/>
          <w:i w:val="0"/>
          <w:sz w:val="28"/>
        </w:rPr>
        <w:t>本清单用于季度自查，由 HR 牵头、财务配合，检查结果报总经理。检查发现的红色项须在 30 天内整改，黄色项 60 天内整改。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二、检查表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45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58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检查项</w:t>
            </w:r>
          </w:p>
        </w:tc>
        <w:tc>
          <w:tcPr>
            <w:tcW w:type="dxa" w:w="249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检查方法</w:t>
            </w:r>
          </w:p>
        </w:tc>
        <w:tc>
          <w:tcPr>
            <w:tcW w:type="dxa" w:w="226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判定标准</w:t>
            </w:r>
          </w:p>
        </w:tc>
        <w:tc>
          <w:tcPr>
            <w:tcW w:type="dxa" w:w="113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当前状态</w:t>
            </w:r>
          </w:p>
        </w:tc>
      </w:tr>
      <w:tr>
        <w:tc>
          <w:tcPr>
            <w:tcW w:type="dxa" w:w="45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1</w:t>
            </w:r>
          </w:p>
        </w:tc>
        <w:tc>
          <w:tcPr>
            <w:tcW w:type="dxa" w:w="158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劳动合同签订率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抽查入职 1 个月以上员工档案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签订率 100%（超 1 个月未签即违规）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□ 合格　□ 不合格</w:t>
            </w:r>
          </w:p>
        </w:tc>
      </w:tr>
      <w:tr>
        <w:tc>
          <w:tcPr>
            <w:tcW w:type="dxa" w:w="45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2</w:t>
            </w:r>
          </w:p>
        </w:tc>
        <w:tc>
          <w:tcPr>
            <w:tcW w:type="dxa" w:w="158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社保缴费基数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比对社保申报基数与实发工资</w:t>
            </w:r>
          </w:p>
        </w:tc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按实发工资申报，不得按最低基数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□ 合格　□ 不合格</w:t>
            </w:r>
          </w:p>
        </w:tc>
      </w:tr>
      <w:tr>
        <w:tc>
          <w:tcPr>
            <w:tcW w:type="dxa" w:w="45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3</w:t>
            </w:r>
          </w:p>
        </w:tc>
        <w:tc>
          <w:tcPr>
            <w:tcW w:type="dxa" w:w="158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加班费计算基数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抽查 3 个月工资表与考勤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按应发工资计算，不得只按基本工资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□ 合格　□ 不合格</w:t>
            </w:r>
          </w:p>
        </w:tc>
      </w:tr>
      <w:tr>
        <w:tc>
          <w:tcPr>
            <w:tcW w:type="dxa" w:w="45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4</w:t>
            </w:r>
          </w:p>
        </w:tc>
        <w:tc>
          <w:tcPr>
            <w:tcW w:type="dxa" w:w="158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劳务派遣占比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统计派遣人数 ÷ 用工总量</w:t>
            </w:r>
          </w:p>
        </w:tc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≤ 10%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□ 合格　□ 不合格</w:t>
            </w:r>
          </w:p>
        </w:tc>
      </w:tr>
      <w:tr>
        <w:tc>
          <w:tcPr>
            <w:tcW w:type="dxa" w:w="45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5</w:t>
            </w:r>
          </w:p>
        </w:tc>
        <w:tc>
          <w:tcPr>
            <w:tcW w:type="dxa" w:w="158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年休假安排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统计当年已休与未休人数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主动安排，留存安排记录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□ 合格　□ 不合格</w:t>
            </w:r>
          </w:p>
        </w:tc>
      </w:tr>
      <w:tr>
        <w:tc>
          <w:tcPr>
            <w:tcW w:type="dxa" w:w="45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6</w:t>
            </w:r>
          </w:p>
        </w:tc>
        <w:tc>
          <w:tcPr>
            <w:tcW w:type="dxa" w:w="158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综合工时审批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核查人社部门批文</w:t>
            </w:r>
          </w:p>
        </w:tc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未批不得先行实行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□ 合格　□ 不合格</w:t>
            </w:r>
          </w:p>
        </w:tc>
      </w:tr>
      <w:tr>
        <w:tc>
          <w:tcPr>
            <w:tcW w:type="dxa" w:w="45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7</w:t>
            </w:r>
          </w:p>
        </w:tc>
        <w:tc>
          <w:tcPr>
            <w:tcW w:type="dxa" w:w="158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调岗书面变更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抽查近 1 年调岗记录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须有双方签字的变更协议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□ 合格　□ 不合格</w:t>
            </w:r>
          </w:p>
        </w:tc>
      </w:tr>
      <w:tr>
        <w:tc>
          <w:tcPr>
            <w:tcW w:type="dxa" w:w="45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8</w:t>
            </w:r>
          </w:p>
        </w:tc>
        <w:tc>
          <w:tcPr>
            <w:tcW w:type="dxa" w:w="158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制度民主程序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核查职工代表大会纪要 + 公示签收</w:t>
            </w:r>
          </w:p>
        </w:tc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两者齐备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□ 合格　□ 不合格</w:t>
            </w:r>
          </w:p>
        </w:tc>
      </w:tr>
      <w:tr>
        <w:tc>
          <w:tcPr>
            <w:tcW w:type="dxa" w:w="45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9</w:t>
            </w:r>
          </w:p>
        </w:tc>
        <w:tc>
          <w:tcPr>
            <w:tcW w:type="dxa" w:w="158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工伤申报及时性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核查近 12 个月工伤记录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申报率 100%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□ 合格　□ 不合格</w:t>
            </w:r>
          </w:p>
        </w:tc>
      </w:tr>
      <w:tr>
        <w:tc>
          <w:tcPr>
            <w:tcW w:type="dxa" w:w="45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10</w:t>
            </w:r>
          </w:p>
        </w:tc>
        <w:tc>
          <w:tcPr>
            <w:tcW w:type="dxa" w:w="158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四项法律红线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核查出纳/会计、采购/审价、印章/审批、薪酬/社保分设情况</w:t>
            </w:r>
          </w:p>
        </w:tc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全部分设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□ 合格　□ 不合格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三、整改跟踪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70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不合格项</w:t>
            </w:r>
          </w:p>
        </w:tc>
        <w:tc>
          <w:tcPr>
            <w:tcW w:type="dxa" w:w="2835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整改措施</w:t>
            </w:r>
          </w:p>
        </w:tc>
        <w:tc>
          <w:tcPr>
            <w:tcW w:type="dxa" w:w="124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责任人</w:t>
            </w:r>
          </w:p>
        </w:tc>
        <w:tc>
          <w:tcPr>
            <w:tcW w:type="dxa" w:w="1020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时限</w:t>
            </w:r>
          </w:p>
        </w:tc>
        <w:tc>
          <w:tcPr>
            <w:tcW w:type="dxa" w:w="170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验收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</w:r>
          </w:p>
        </w:tc>
        <w:tc>
          <w:tcPr>
            <w:tcW w:type="dxa" w:w="283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</w:r>
          </w:p>
        </w:tc>
        <w:tc>
          <w:tcPr>
            <w:tcW w:type="dxa" w:w="102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□ 已闭环　□ 进行中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</w:r>
          </w:p>
        </w:tc>
        <w:tc>
          <w:tcPr>
            <w:tcW w:type="dxa" w:w="283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</w:r>
          </w:p>
        </w:tc>
        <w:tc>
          <w:tcPr>
            <w:tcW w:type="dxa" w:w="102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□ 已闭环　□ 进行中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</w:r>
          </w:p>
        </w:tc>
        <w:tc>
          <w:tcPr>
            <w:tcW w:type="dxa" w:w="283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</w:r>
          </w:p>
        </w:tc>
        <w:tc>
          <w:tcPr>
            <w:tcW w:type="dxa" w:w="102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□ 已闭环　□ 进行中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0" w:after="120"/>
      </w:pPr>
      <w:r>
        <w:rPr>
          <w:rFonts w:ascii="Microsoft YaHei" w:hAnsi="Microsoft YaHei" w:eastAsia="Microsoft YaHei"/>
          <w:b/>
          <w:i w:val="0"/>
          <w:color w:val="C0392B"/>
          <w:sz w:val="25"/>
        </w:rPr>
        <w:t>闭环率纳入季度复盘：整改闭环率 = 已闭环项 ÷ 应整改项，目标 100%。</w:t>
      </w: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3"/>
        </w:rPr>
        <w:t>编制：人力资源部 + 法务　　审核：HRD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