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年度战略解码与硬仗管理制度</w:t>
      </w:r>
    </w:p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4"/>
        </w:rPr>
        <w:t>编号 SG-01　·　HR自动化工作台 五维制度体系之「事」　·　V1.0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本制度为HR管理参考模板，企业可按自身情况调整后发布执行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项目</w:t>
            </w:r>
          </w:p>
        </w:tc>
        <w:tc>
          <w:tcPr>
            <w:tcW w:type="dxa" w:w="70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制度编号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SG-01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所属维度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事-岗-人-钱-险 之「事」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生效日期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＿＿＿＿ 年 ＿＿ 月 ＿＿ 日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签发人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董事长 / 总裁：＿＿＿＿＿＿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解释部门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人力资源部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把老板"想干什么"翻译成团队"该干什么"，避免战略会开完、团队一脸茫然。本制度规定年度目标如何拆成硬仗、硬仗如何落到部门与岗位、如何复盘。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二、适用范围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公司各一级部门及下属二级部门；适用于年度经营目标解码、季度复盘、专项攻坚。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角色</w:t>
            </w:r>
          </w:p>
        </w:tc>
        <w:tc>
          <w:tcPr>
            <w:tcW w:type="dxa" w:w="697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董事长 / 总裁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确定年度目标与硬仗数量上限；逐场任命第一责任人；主持季度复盘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战略运营 / 总经办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组织解码会；维护硬仗台账；跟踪节点与预警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各分管副总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承接硬仗；拆解到部门；按月报送进展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人力资源部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把硬仗翻译成部门 PBC 与岗位考核指标；维护绩效合同台账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四、核心规则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第一条　硬仗不超过 5 场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年度公司级硬仗控制在 3–5 场。超过 5 场即视为没有重点，须合并或降级为部门级任务。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第二条　四要素缺一不可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每场硬仗必须同时具备：① 目标量化（带数字，不许写"提升"）；② 唯一责任人（一场一人，不许两人共担）；③ 交付节点（明确到季度，不许写"全年"）；④ 衡量指标（能算分、能追责，数据取自财务或业务系统）。缺任一要素，退回重做。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第三条　硬仗必须挂人效指标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每场硬仗至少绑定 1 项人效指标（人均营收 / 人均利润 / 人事费用率 / 人工成本利润率 / 人均人工成本）。不挂人效的硬仗，不予立项。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第四条　一场硬仗一个第一责任人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第一责任人对结果负全责，拥有跨部门调度权。共同负责视为无人负责。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第五条　季度复盘强制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每季度首月召开硬仗复盘会，逐场核对：达成率、偏差原因、下季动作。连续两季达成率低于 70% 的硬仗，须重新评估是否继续。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时点</w:t>
            </w:r>
          </w:p>
        </w:tc>
        <w:tc>
          <w:tcPr>
            <w:tcW w:type="dxa" w:w="76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T-30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总裁确定年度目标草案，明确营收 / 利润 / 人效三项硬指标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T-15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战略解码会：拆出 3–5 场硬仗，逐场填《硬仗立项表》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T-10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逐场任命第一责任人，签订《部门 PBC 签约表》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T-7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硬仗拆解到岗位，形成《岗位考核表》，HR 备案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季度首月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硬仗复盘会，填《硬仗月度复盘表》，更新台账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年度末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硬仗结项评审，结果应用于绩效与调薪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六、配套表单与智能体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6"/>
        </w:rPr>
        <w:t>本制度配套以下表单，企业填写后由对应智能体自动生成决议文档：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表单名称</w:t>
            </w:r>
          </w:p>
        </w:tc>
        <w:tc>
          <w:tcPr>
            <w:tcW w:type="dxa" w:w="680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用途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硬仗立项表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逐场登记目标、责任人、节点、衡量指标、绑定的人效指标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部门 PBC 签约表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部门承接硬仗的绩效合同，六要素齐全，指标 ≤ 8 条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硬仗月度复盘表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逐场跟踪达成率、偏差原因、下月动作、需要的资源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对应智能体：</w:t>
      </w:r>
      <w:r>
        <w:rPr>
          <w:rFonts w:ascii="Microsoft YaHei" w:hAnsi="Microsoft YaHei" w:eastAsia="Microsoft YaHei"/>
          <w:b w:val="0"/>
          <w:i w:val="0"/>
          <w:sz w:val="26"/>
        </w:rPr>
        <w:t>③ 战略解码智能体（通用引擎 ③）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七、附则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本制度自签发之日起生效，由人力资源部负责解释与修订。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本制度与《总裁决策签约书》配套使用；两者冲突时，以签约书为准。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本制度每年至少复盘一次，复盘结果纳入季度人效复盘表。</w:t>
      </w:r>
    </w:p>
    <w:p>
      <w:pPr>
        <w:spacing w:line="360" w:lineRule="auto" w:before="0" w:after="200"/>
      </w:pPr>
    </w:p>
    <w:p>
      <w:pPr>
        <w:spacing w:before="280"/>
      </w:pPr>
      <w:r>
        <w:rPr>
          <w:rFonts w:ascii="Microsoft YaHei" w:hAnsi="Microsoft YaHei" w:eastAsia="Microsoft YaHei"/>
          <w:b/>
          <w:i w:val="0"/>
          <w:sz w:val="26"/>
        </w:rPr>
        <w:t>签发人（签字）：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＿＿＿＿＿＿＿＿＿＿＿＿＿＿＿＿＿＿＿＿＿＿＿＿</w:t>
      </w:r>
      <w:r>
        <w:rPr>
          <w:rFonts w:ascii="Microsoft YaHei" w:hAnsi="Microsoft YaHei" w:eastAsia="Microsoft YaHei"/>
          <w:b w:val="0"/>
          <w:i w:val="0"/>
          <w:sz w:val="26"/>
        </w:rPr>
        <w:t xml:space="preserve">　　　</w:t>
      </w:r>
      <w:r>
        <w:rPr>
          <w:rFonts w:ascii="Microsoft YaHei" w:hAnsi="Microsoft YaHei" w:eastAsia="Microsoft YaHei"/>
          <w:b/>
          <w:i w:val="0"/>
          <w:sz w:val="26"/>
        </w:rPr>
        <w:t>日期：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