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组织架构与编制管理制度</w:t>
      </w:r>
    </w:p>
    <w:p>
      <w:pPr>
        <w:spacing w:line="360" w:lineRule="auto" w:before="0" w:after="8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4"/>
        </w:rPr>
        <w:t>编号 SG-02　·　HR自动化工作台 五维制度体系之「岗」　·　V1.0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本制度为HR管理参考模板，企业可按自身情况调整后发布执行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项目</w:t>
            </w:r>
          </w:p>
        </w:tc>
        <w:tc>
          <w:tcPr>
            <w:tcW w:type="dxa" w:w="70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4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制度编号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SG-02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所属维度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事-岗-人-钱-险 之「岗」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生效日期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＿＿＿＿ 年 ＿＿ 月 ＿＿ 日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签发人</w:t>
            </w:r>
          </w:p>
        </w:tc>
        <w:tc>
          <w:tcPr>
            <w:tcW w:type="dxa" w:w="70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董事长 / 总裁：＿＿＿＿＿＿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4"/>
              </w:rPr>
              <w:t>解释部门</w:t>
            </w:r>
          </w:p>
        </w:tc>
        <w:tc>
          <w:tcPr>
            <w:tcW w:type="dxa" w:w="70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4"/>
              </w:rPr>
              <w:t>人力资源部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一、目的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把"事"落到"岗"，让每个岗位都有标准、每个编制都有依据。本制度规定组织架构如何调整、编制如何核定与审批、岗位如何设置与优化。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二、适用范围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 w:val="0"/>
          <w:i w:val="0"/>
          <w:sz w:val="28"/>
        </w:rPr>
        <w:t>公司全部部门与岗位的设置、调整、合并、撤销；编制的核定、增补与冻结。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角色</w:t>
            </w:r>
          </w:p>
        </w:tc>
        <w:tc>
          <w:tcPr>
            <w:tcW w:type="dxa" w:w="697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董事长 / 总裁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批准组织架构调整方案与新编制表；签字确认部门合并与拆分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人力资源部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维护岗位清单与岗位说明书；测算编制；组织岗位价值评估</w:t>
            </w:r>
          </w:p>
        </w:tc>
      </w:tr>
      <w:tr>
        <w:tc>
          <w:tcPr>
            <w:tcW w:type="dxa" w:w="238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各分管副总</w:t>
            </w:r>
          </w:p>
        </w:tc>
        <w:tc>
          <w:tcPr>
            <w:tcW w:type="dxa" w:w="697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提出编制需求与岗位设置建议；控制管理幅度不超过 8 人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财务部</w:t>
            </w:r>
          </w:p>
        </w:tc>
        <w:tc>
          <w:tcPr>
            <w:tcW w:type="dxa" w:w="697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校验编制方案对人工成本与人事费用率的影响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四、核心规则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第一条　管理幅度红线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单一主管直接下属 ≤ 8 人。超过必须分层设岗，不得因"人手紧"而突破。管理幅度失控的部门，不得申请新增编制。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第二条　分权三问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任何组织架构调整方案必须通过三问：① 运动员是否兼裁判（执行与审批是否分离）；② 关键职能是否完整（质量、财务、HR 是否缺位）；③ 汇报线是否唯一（每人只有一个直接上级）。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第三条　编制核定以人效为准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编制上限 = 目标营收 ÷ 目标人均营收。不得按"去年人数 + X%"递增。人事费用率超过年度红线的，新增编制申请一律冻结。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第四条　AI 替代优先于增编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任何增编申请须先回答：这件事 AI 能不能替？按 ABC 判据分类（A 类可全替代 85%、B 类可辅助提效 50%、C 类不可替 10%）。A、B 类事务未治理前，不予增编。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第五条　岗位设置三不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不因人设岗、不因人情设岗、不因历史设岗。岗位存在的前提是承接明确的硬仗或职能。</w:t>
      </w:r>
    </w:p>
    <w:p>
      <w:pPr>
        <w:spacing w:line="360" w:lineRule="auto" w:before="120" w:after="40"/>
      </w:pPr>
      <w:r>
        <w:rPr>
          <w:rFonts w:ascii="Microsoft YaHei" w:hAnsi="Microsoft YaHei" w:eastAsia="Microsoft YaHei"/>
          <w:b/>
          <w:i w:val="0"/>
          <w:color w:val="1F3A5F"/>
          <w:sz w:val="27"/>
        </w:rPr>
        <w:t>第六条　减编不称裁员</w:t>
      </w:r>
    </w:p>
    <w:p>
      <w:pPr>
        <w:spacing w:line="360" w:lineRule="auto" w:before="0" w:after="60"/>
        <w:ind w:left="240"/>
      </w:pPr>
      <w:r>
        <w:rPr>
          <w:rFonts w:ascii="Microsoft YaHei" w:hAnsi="Microsoft YaHei" w:eastAsia="Microsoft YaHei"/>
          <w:b w:val="0"/>
          <w:i w:val="0"/>
          <w:sz w:val="26"/>
        </w:rPr>
        <w:t>控制编制统一表述为"控编 / 减编 / 转岗"，对外对内均不使用"裁员"一词。减编须走《减编合法路径表》，优先派遣退回、内部转岗，最后才是协商解除。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时点</w:t>
            </w:r>
          </w:p>
        </w:tc>
        <w:tc>
          <w:tcPr>
            <w:tcW w:type="dxa" w:w="76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动作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 按目标营收与目标人均营收测算编制总上限，报总裁批准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各部门填报《岗位清单表》，逐岗说明存在的理由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AI 控编扫描：逐部门做 ABC 事务分类，输出砍并升转建议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年度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组织重构共创会：定稿新组织架构图，总裁签字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按需</w:t>
            </w:r>
          </w:p>
        </w:tc>
        <w:tc>
          <w:tcPr>
            <w:tcW w:type="dxa" w:w="765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岗位调整走《编制审批表》，一岗一表，附成本影响测算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按需</w:t>
            </w:r>
          </w:p>
        </w:tc>
        <w:tc>
          <w:tcPr>
            <w:tcW w:type="dxa" w:w="765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岗位调整批准后，下发《岗位调整通知书》，并同步更新岗位说明书</w:t>
            </w:r>
          </w:p>
        </w:tc>
      </w:tr>
    </w:tbl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六、配套表单与智能体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6"/>
        </w:rPr>
        <w:t>本制度配套以下表单，企业填写后由对应智能体自动生成决议文档：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表单名称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用途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岗位清单表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逐岗登记岗位名称、部门、编制、存在理由、是否关键岗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编制审批表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增编 / 减编 / 转岗申请，附人工成本影响与 AI 替代核查结论</w:t>
            </w:r>
          </w:p>
        </w:tc>
      </w:tr>
      <w:tr>
        <w:tc>
          <w:tcPr>
            <w:tcW w:type="dxa" w:w="255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岗位调整通知书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正式文书，含调整前后对照、生效日期、签收栏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减编合法路径表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逐人登记减编路径、补偿金额、法务复核意见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80"/>
      </w:pPr>
      <w:r>
        <w:rPr>
          <w:rFonts w:ascii="Microsoft YaHei" w:hAnsi="Microsoft YaHei" w:eastAsia="Microsoft YaHei"/>
          <w:b/>
          <w:i w:val="0"/>
          <w:color w:val="1F3A5F"/>
          <w:sz w:val="26"/>
        </w:rPr>
        <w:t>对应智能体：</w:t>
      </w:r>
      <w:r>
        <w:rPr>
          <w:rFonts w:ascii="Microsoft YaHei" w:hAnsi="Microsoft YaHei" w:eastAsia="Microsoft YaHei"/>
          <w:b w:val="0"/>
          <w:i w:val="0"/>
          <w:sz w:val="26"/>
        </w:rPr>
        <w:t>④ AI控编与岗位合并智能体、⑨ 岗位设计智能体（通用引擎 ④⑨）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七、附则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本制度自签发之日起生效，由人力资源部负责解释与修订。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本制度与《总裁决策签约书》配套使用；两者冲突时，以签约书为准。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本制度每年至少复盘一次，复盘结果纳入季度人效复盘表。</w:t>
      </w:r>
    </w:p>
    <w:p>
      <w:pPr>
        <w:spacing w:line="360" w:lineRule="auto" w:before="0" w:after="200"/>
      </w:pPr>
    </w:p>
    <w:p>
      <w:pPr>
        <w:spacing w:before="280"/>
      </w:pPr>
      <w:r>
        <w:rPr>
          <w:rFonts w:ascii="Microsoft YaHei" w:hAnsi="Microsoft YaHei" w:eastAsia="Microsoft YaHei"/>
          <w:b/>
          <w:i w:val="0"/>
          <w:sz w:val="26"/>
        </w:rPr>
        <w:t>签发人（签字）：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＿＿＿＿＿＿＿＿＿＿＿＿＿＿＿＿＿＿＿＿＿＿＿＿</w:t>
      </w:r>
      <w:r>
        <w:rPr>
          <w:rFonts w:ascii="Microsoft YaHei" w:hAnsi="Microsoft YaHei" w:eastAsia="Microsoft YaHei"/>
          <w:b w:val="0"/>
          <w:i w:val="0"/>
          <w:sz w:val="26"/>
        </w:rPr>
        <w:t xml:space="preserve">　　　</w:t>
      </w:r>
      <w:r>
        <w:rPr>
          <w:rFonts w:ascii="Microsoft YaHei" w:hAnsi="Microsoft YaHei" w:eastAsia="Microsoft YaHei"/>
          <w:b/>
          <w:i w:val="0"/>
          <w:sz w:val="26"/>
        </w:rPr>
        <w:t>日期：</w:t>
      </w:r>
      <w:r>
        <w:rPr>
          <w:rFonts w:ascii="Microsoft YaHei" w:hAnsi="Microsoft YaHei" w:eastAsia="Microsoft YaHei"/>
          <w:b w:val="0"/>
          <w:i w:val="0"/>
          <w:color w:val="595959"/>
          <w:sz w:val="26"/>
        </w:rPr>
        <w:t>＿＿＿＿＿＿＿＿＿＿＿＿＿＿＿＿＿＿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