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关键岗位管理与继任制度</w:t>
      </w:r>
    </w:p>
    <w:p>
      <w:pPr>
        <w:spacing w:line="360" w:lineRule="auto" w:before="0" w:after="8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4"/>
        </w:rPr>
        <w:t>编号 SG-03　·　HR自动化工作台 五维制度体系之「人」　·　V1.0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2"/>
        </w:rPr>
        <w:t>本制度为HR管理参考模板，企业可按自身情况调整后发布执行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项目</w:t>
            </w:r>
          </w:p>
        </w:tc>
        <w:tc>
          <w:tcPr>
            <w:tcW w:type="dxa" w:w="70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制度编号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SG-03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所属维度</w:t>
            </w:r>
          </w:p>
        </w:tc>
        <w:tc>
          <w:tcPr>
            <w:tcW w:type="dxa" w:w="70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事-岗-人-钱-险 之「人」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生效日期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＿＿＿＿ 年 ＿＿ 月 ＿＿ 日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签发人</w:t>
            </w:r>
          </w:p>
        </w:tc>
        <w:tc>
          <w:tcPr>
            <w:tcW w:type="dxa" w:w="70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董事长 / 总裁：＿＿＿＿＿＿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解释部门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人力资源部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一、目的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8"/>
        </w:rPr>
        <w:t>让有限的资源押在对的位置上，并让每个关键岗位都有后备。本制度规定关键岗位如何识别、分层与保留，继任梯队如何建立与跟踪。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二、适用范围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8"/>
        </w:rPr>
        <w:t>公司 A 类关键岗位的识别、盘点、保留、继任与激励；B 类重要岗位参照执行。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三、职责分工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角色</w:t>
            </w:r>
          </w:p>
        </w:tc>
        <w:tc>
          <w:tcPr>
            <w:tcW w:type="dxa" w:w="697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职责</w:t>
            </w:r>
          </w:p>
        </w:tc>
      </w:tr>
      <w:tr>
        <w:tc>
          <w:tcPr>
            <w:tcW w:type="dxa" w:w="238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董事长 / 总裁</w:t>
            </w:r>
          </w:p>
        </w:tc>
        <w:tc>
          <w:tcPr>
            <w:tcW w:type="dxa" w:w="697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确认 A 类岗位清单；逐岗定用人策略；批准 A 类增量激励锁定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人力资源部</w:t>
            </w:r>
          </w:p>
        </w:tc>
        <w:tc>
          <w:tcPr>
            <w:tcW w:type="dxa" w:w="697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组织年度人才盘点；维护九宫格与继任地图；跟踪继任者培养进度</w:t>
            </w:r>
          </w:p>
        </w:tc>
      </w:tr>
      <w:tr>
        <w:tc>
          <w:tcPr>
            <w:tcW w:type="dxa" w:w="238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各分管副总</w:t>
            </w:r>
          </w:p>
        </w:tc>
        <w:tc>
          <w:tcPr>
            <w:tcW w:type="dxa" w:w="697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提报关键岗位人选；担任继任者的导师；对继任培养结果负责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财务部</w:t>
            </w:r>
          </w:p>
        </w:tc>
        <w:tc>
          <w:tcPr>
            <w:tcW w:type="dxa" w:w="697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测算 A 类人工成本占比与流失替换成本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四、核心规则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第一条　三维称重识别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按「战略影响度 40% + 市场稀缺性 30% + 替代难度 30%」加权打分。A 类 ≥ 80 分，B 类 60–79 分，C 类 &lt; 60 分。任一维度低于 40 分降一档（门控）。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第二条　A 类占比 8%–12%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A 类人数占全员比例：建议区 8%–12%，容忍区 6%–15%。低于 6% 判定为识别失效（大概率漏评核心技术岗或大客户销售岗）；高于 15% 判定为识别过滥（人人是关键＝没人是关键，保留包被摊薄）。A 类人工成本占比超过 35% 时，须复核是否把"高薪岗"当成了"关键岗"。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第三条　三层配比保底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A 类识别按三层配比：高管层（总监及以上）100% 纳入，不做筛选——他们是硬仗第一责任人；中坚层（中层管理 + 核心技术）约 25%；一线关键岗（技师 / 班组长 / 高级工）约 15%。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第四条　判据是"缺了他打不赢"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A 类的判断标准是「今年这场硬仗，缺了这个人打不赢」，不是「这个人工资高」。占比按人数计算，不按岗位数计算。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第五条　一岗一后备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每个 A 类岗位必须有至少 1 名继任者，准备度分为 Ready now / 1 年内 / 空缺。标记为"空缺"的 A 类岗，须在 90 天内补齐后备或启动外部招聘预案。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第六条　A 类增量锁定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年度薪酬激励增量中，锁定不低于 30% 专项用于 A 类岗位，不得按人头平摊。A 类年流失率目标 ≤ 10%。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五、操作流程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时点</w:t>
            </w:r>
          </w:p>
        </w:tc>
        <w:tc>
          <w:tcPr>
            <w:tcW w:type="dxa" w:w="76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动作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Q1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年度人才盘点：全员九宫格（绩效 × 潜力），填《人才盘点九宫格表》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Q1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关键岗位价值评估：三维打分，输出 A/B/C 清单，校验占比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Q1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绘制《A类岗位继任地图》：逐岗标注现任、继任者、准备度、风险等级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Q2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逐岗制定用人策略：保留 / 引进 / 内部继任，总裁确认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Q3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继任者培养：导师制 + 轮岗 + 项目历练，季度跟踪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Q4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复盘：A 类流失率、继任准备度变化、增量激励使用情况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六、配套表单与智能体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6"/>
        </w:rPr>
        <w:t>本制度配套以下表单，企业填写后由对应智能体自动生成决议文档：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表单名称</w:t>
            </w:r>
          </w:p>
        </w:tc>
        <w:tc>
          <w:tcPr>
            <w:tcW w:type="dxa" w:w="680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用途</w:t>
            </w:r>
          </w:p>
        </w:tc>
      </w:tr>
      <w:tr>
        <w:tc>
          <w:tcPr>
            <w:tcW w:type="dxa" w:w="255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人才盘点九宫格表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全员绩效 × 潜力评分，自动落格，识别明星与待改进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A类岗位继任地图</w:t>
            </w:r>
          </w:p>
        </w:tc>
        <w:tc>
          <w:tcPr>
            <w:tcW w:type="dxa" w:w="680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逐岗登记现任、继任者、准备度、风险等级、培养动作</w:t>
            </w:r>
          </w:p>
        </w:tc>
      </w:tr>
      <w:tr>
        <w:tc>
          <w:tcPr>
            <w:tcW w:type="dxa" w:w="255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关键岗位价值评价表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三维打分明细，自动判级与占比校验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80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对应智能体：</w:t>
      </w:r>
      <w:r>
        <w:rPr>
          <w:rFonts w:ascii="Microsoft YaHei" w:hAnsi="Microsoft YaHei" w:eastAsia="Microsoft YaHei"/>
          <w:b w:val="0"/>
          <w:i w:val="0"/>
          <w:sz w:val="26"/>
        </w:rPr>
        <w:t>⑤ 关键岗价值速算智能体、⑬ 人才培养智能体（通用引擎 ⑤⑬）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七、附则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本制度自签发之日起生效，由人力资源部负责解释与修订。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本制度与《总裁决策签约书》配套使用；两者冲突时，以签约书为准。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本制度每年至少复盘一次，复盘结果纳入季度人效复盘表。</w:t>
      </w:r>
    </w:p>
    <w:p>
      <w:pPr>
        <w:spacing w:line="360" w:lineRule="auto" w:before="0" w:after="200"/>
      </w:pPr>
    </w:p>
    <w:p>
      <w:pPr>
        <w:spacing w:before="280"/>
      </w:pPr>
      <w:r>
        <w:rPr>
          <w:rFonts w:ascii="Microsoft YaHei" w:hAnsi="Microsoft YaHei" w:eastAsia="Microsoft YaHei"/>
          <w:b/>
          <w:i w:val="0"/>
          <w:sz w:val="26"/>
        </w:rPr>
        <w:t>签发人（签字）：</w:t>
      </w:r>
      <w:r>
        <w:rPr>
          <w:rFonts w:ascii="Microsoft YaHei" w:hAnsi="Microsoft YaHei" w:eastAsia="Microsoft YaHei"/>
          <w:b w:val="0"/>
          <w:i w:val="0"/>
          <w:color w:val="595959"/>
          <w:sz w:val="26"/>
        </w:rPr>
        <w:t>＿＿＿＿＿＿＿＿＿＿＿＿＿＿＿＿＿＿＿＿＿＿＿＿</w:t>
      </w:r>
      <w:r>
        <w:rPr>
          <w:rFonts w:ascii="Microsoft YaHei" w:hAnsi="Microsoft YaHei" w:eastAsia="Microsoft YaHei"/>
          <w:b w:val="0"/>
          <w:i w:val="0"/>
          <w:sz w:val="26"/>
        </w:rPr>
        <w:t xml:space="preserve">　　　</w:t>
      </w:r>
      <w:r>
        <w:rPr>
          <w:rFonts w:ascii="Microsoft YaHei" w:hAnsi="Microsoft YaHei" w:eastAsia="Microsoft YaHei"/>
          <w:b/>
          <w:i w:val="0"/>
          <w:sz w:val="26"/>
        </w:rPr>
        <w:t>日期：</w:t>
      </w:r>
      <w:r>
        <w:rPr>
          <w:rFonts w:ascii="Microsoft YaHei" w:hAnsi="Microsoft YaHei" w:eastAsia="Microsoft YaHei"/>
          <w:b w:val="0"/>
          <w:i w:val="0"/>
          <w:color w:val="595959"/>
          <w:sz w:val="26"/>
        </w:rPr>
        <w:t>＿＿＿＿＿＿＿＿＿＿＿＿＿＿＿＿＿＿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