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120"/>
        <w:jc w:val="center"/>
        <w:pBdr>
          <w:bottom w:val="single" w:sz="12" w:space="2" w:color="1F3A5F"/>
        </w:pBdr>
      </w:pPr>
      <w:r>
        <w:rPr>
          <w:rFonts w:ascii="Microsoft YaHei" w:hAnsi="Microsoft YaHei" w:eastAsia="Microsoft YaHei"/>
          <w:b/>
          <w:i w:val="0"/>
          <w:color w:val="1F3A5F"/>
          <w:sz w:val="36"/>
        </w:rPr>
        <w:t>人工成本总包管控制度</w:t>
      </w:r>
    </w:p>
    <w:p>
      <w:pPr>
        <w:spacing w:line="360" w:lineRule="auto" w:before="0" w:after="80"/>
        <w:jc w:val="center"/>
      </w:pPr>
      <w:r>
        <w:rPr>
          <w:rFonts w:ascii="Microsoft YaHei" w:hAnsi="Microsoft YaHei" w:eastAsia="Microsoft YaHei"/>
          <w:b w:val="0"/>
          <w:i w:val="0"/>
          <w:color w:val="595959"/>
          <w:sz w:val="24"/>
        </w:rPr>
        <w:t>编号 SG-04　·　HR自动化工作台 五维制度体系之「钱」　·　V1.0</w:t>
      </w:r>
    </w:p>
    <w:p>
      <w:pPr>
        <w:spacing w:line="360" w:lineRule="auto" w:before="0" w:after="240"/>
        <w:jc w:val="center"/>
      </w:pPr>
      <w:r>
        <w:rPr>
          <w:rFonts w:ascii="Microsoft YaHei" w:hAnsi="Microsoft YaHei" w:eastAsia="Microsoft YaHei"/>
          <w:b w:val="0"/>
          <w:i w:val="0"/>
          <w:color w:val="595959"/>
          <w:sz w:val="22"/>
        </w:rPr>
        <w:t>本制度为HR管理参考模板，企业可按自身情况调整后发布执行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268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4"/>
              </w:rPr>
              <w:t>项目</w:t>
            </w:r>
          </w:p>
        </w:tc>
        <w:tc>
          <w:tcPr>
            <w:tcW w:type="dxa" w:w="7087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4"/>
              </w:rPr>
              <w:t>内容</w:t>
            </w:r>
          </w:p>
        </w:tc>
      </w:tr>
      <w:tr>
        <w:tc>
          <w:tcPr>
            <w:tcW w:type="dxa" w:w="2268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4"/>
              </w:rPr>
              <w:t>制度编号</w:t>
            </w:r>
          </w:p>
        </w:tc>
        <w:tc>
          <w:tcPr>
            <w:tcW w:type="dxa" w:w="708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4"/>
              </w:rPr>
              <w:t>SG-04</w:t>
            </w:r>
          </w:p>
        </w:tc>
      </w:tr>
      <w:tr>
        <w:tc>
          <w:tcPr>
            <w:tcW w:type="dxa" w:w="2268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4"/>
              </w:rPr>
              <w:t>所属维度</w:t>
            </w:r>
          </w:p>
        </w:tc>
        <w:tc>
          <w:tcPr>
            <w:tcW w:type="dxa" w:w="708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4"/>
              </w:rPr>
              <w:t>事-岗-人-钱-险 之「钱」</w:t>
            </w:r>
          </w:p>
        </w:tc>
      </w:tr>
      <w:tr>
        <w:tc>
          <w:tcPr>
            <w:tcW w:type="dxa" w:w="2268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4"/>
              </w:rPr>
              <w:t>生效日期</w:t>
            </w:r>
          </w:p>
        </w:tc>
        <w:tc>
          <w:tcPr>
            <w:tcW w:type="dxa" w:w="708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4"/>
              </w:rPr>
              <w:t>＿＿＿＿ 年 ＿＿ 月 ＿＿ 日</w:t>
            </w:r>
          </w:p>
        </w:tc>
      </w:tr>
      <w:tr>
        <w:tc>
          <w:tcPr>
            <w:tcW w:type="dxa" w:w="2268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4"/>
              </w:rPr>
              <w:t>签发人</w:t>
            </w:r>
          </w:p>
        </w:tc>
        <w:tc>
          <w:tcPr>
            <w:tcW w:type="dxa" w:w="708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4"/>
              </w:rPr>
              <w:t>董事长 / 总裁：＿＿＿＿＿＿</w:t>
            </w:r>
          </w:p>
        </w:tc>
      </w:tr>
      <w:tr>
        <w:tc>
          <w:tcPr>
            <w:tcW w:type="dxa" w:w="2268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4"/>
              </w:rPr>
              <w:t>解释部门</w:t>
            </w:r>
          </w:p>
        </w:tc>
        <w:tc>
          <w:tcPr>
            <w:tcW w:type="dxa" w:w="708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4"/>
              </w:rPr>
              <w:t>人力资源部</w:t>
            </w:r>
          </w:p>
        </w:tc>
      </w:tr>
    </w:tbl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一、目的</w:t>
      </w:r>
    </w:p>
    <w:p>
      <w:pPr>
        <w:spacing w:line="360" w:lineRule="auto" w:before="0" w:after="120"/>
      </w:pPr>
      <w:r>
        <w:rPr>
          <w:rFonts w:ascii="Microsoft YaHei" w:hAnsi="Microsoft YaHei" w:eastAsia="Microsoft YaHei"/>
          <w:b w:val="0"/>
          <w:i w:val="0"/>
          <w:sz w:val="28"/>
        </w:rPr>
        <w:t>把"去年基数 + X%"的总包陋习，改为按人效目标倒算。本制度规定人工成本总包如何核定、固浮比如何改造、增量如何分配。</w:t>
      </w: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二、适用范围</w:t>
      </w:r>
    </w:p>
    <w:p>
      <w:pPr>
        <w:spacing w:line="360" w:lineRule="auto" w:before="0" w:after="120"/>
      </w:pPr>
      <w:r>
        <w:rPr>
          <w:rFonts w:ascii="Microsoft YaHei" w:hAnsi="Microsoft YaHei" w:eastAsia="Microsoft YaHei"/>
          <w:b w:val="0"/>
          <w:i w:val="0"/>
          <w:sz w:val="28"/>
        </w:rPr>
        <w:t>公司全口径人工成本（工资、社保、福利、外包、派遣）的预算、控制与分配。</w:t>
      </w: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三、职责分工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381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角色</w:t>
            </w:r>
          </w:p>
        </w:tc>
        <w:tc>
          <w:tcPr>
            <w:tcW w:type="dxa" w:w="6973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职责</w:t>
            </w:r>
          </w:p>
        </w:tc>
      </w:tr>
      <w:tr>
        <w:tc>
          <w:tcPr>
            <w:tcW w:type="dxa" w:w="2381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董事长 / 总裁</w:t>
            </w:r>
          </w:p>
        </w:tc>
        <w:tc>
          <w:tcPr>
            <w:tcW w:type="dxa" w:w="6973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批准年度人工成本总包与人事费用率红线；批准 A 类增量锁定额度</w:t>
            </w:r>
          </w:p>
        </w:tc>
      </w:tr>
      <w:tr>
        <w:tc>
          <w:tcPr>
            <w:tcW w:type="dxa" w:w="2381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财务部</w:t>
            </w:r>
          </w:p>
        </w:tc>
        <w:tc>
          <w:tcPr>
            <w:tcW w:type="dxa" w:w="6973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测算总包；按月监控人事费用率；预警超支</w:t>
            </w:r>
          </w:p>
        </w:tc>
      </w:tr>
      <w:tr>
        <w:tc>
          <w:tcPr>
            <w:tcW w:type="dxa" w:w="2381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人力资源部</w:t>
            </w:r>
          </w:p>
        </w:tc>
        <w:tc>
          <w:tcPr>
            <w:tcW w:type="dxa" w:w="6973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按序列分解总包；维护宽带薪酬表；执行调薪审批</w:t>
            </w:r>
          </w:p>
        </w:tc>
      </w:tr>
      <w:tr>
        <w:tc>
          <w:tcPr>
            <w:tcW w:type="dxa" w:w="2381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各分管副总</w:t>
            </w:r>
          </w:p>
        </w:tc>
        <w:tc>
          <w:tcPr>
            <w:tcW w:type="dxa" w:w="6973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在包内分配；对所属序列的人效结果负责</w:t>
            </w:r>
          </w:p>
        </w:tc>
      </w:tr>
    </w:tbl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四、核心规则</w:t>
      </w:r>
    </w:p>
    <w:p>
      <w:pPr>
        <w:spacing w:line="360" w:lineRule="auto" w:before="120" w:after="40"/>
      </w:pPr>
      <w:r>
        <w:rPr>
          <w:rFonts w:ascii="Microsoft YaHei" w:hAnsi="Microsoft YaHei" w:eastAsia="Microsoft YaHei"/>
          <w:b/>
          <w:i w:val="0"/>
          <w:color w:val="1F3A5F"/>
          <w:sz w:val="27"/>
        </w:rPr>
        <w:t>第一条　总包倒算，不做加法</w:t>
      </w:r>
    </w:p>
    <w:p>
      <w:pPr>
        <w:spacing w:line="360" w:lineRule="auto" w:before="0" w:after="60"/>
        <w:ind w:left="240"/>
      </w:pPr>
      <w:r>
        <w:rPr>
          <w:rFonts w:ascii="Microsoft YaHei" w:hAnsi="Microsoft YaHei" w:eastAsia="Microsoft YaHei"/>
          <w:b w:val="0"/>
          <w:i w:val="0"/>
          <w:sz w:val="26"/>
        </w:rPr>
        <w:t>年度人工成本总包 = 目标营收 × 目标人事费用率。不得按"去年实际 + X%"递增。</w:t>
      </w:r>
    </w:p>
    <w:p>
      <w:pPr>
        <w:spacing w:line="360" w:lineRule="auto" w:before="120" w:after="40"/>
      </w:pPr>
      <w:r>
        <w:rPr>
          <w:rFonts w:ascii="Microsoft YaHei" w:hAnsi="Microsoft YaHei" w:eastAsia="Microsoft YaHei"/>
          <w:b/>
          <w:i w:val="0"/>
          <w:color w:val="1F3A5F"/>
          <w:sz w:val="27"/>
        </w:rPr>
        <w:t>第二条　合规刚性先扣</w:t>
      </w:r>
    </w:p>
    <w:p>
      <w:pPr>
        <w:spacing w:line="360" w:lineRule="auto" w:before="0" w:after="60"/>
        <w:ind w:left="240"/>
      </w:pPr>
      <w:r>
        <w:rPr>
          <w:rFonts w:ascii="Microsoft YaHei" w:hAnsi="Microsoft YaHei" w:eastAsia="Microsoft YaHei"/>
          <w:b w:val="0"/>
          <w:i w:val="0"/>
          <w:sz w:val="26"/>
        </w:rPr>
        <w:t>法定刚性成本（社保、公积金、最低工资差额、已确认的历史合规敞口）先从总包中扣除，剩余部分才用于分配。不扣则激励建在雷区上。</w:t>
      </w:r>
    </w:p>
    <w:p>
      <w:pPr>
        <w:spacing w:line="360" w:lineRule="auto" w:before="120" w:after="40"/>
      </w:pPr>
      <w:r>
        <w:rPr>
          <w:rFonts w:ascii="Microsoft YaHei" w:hAnsi="Microsoft YaHei" w:eastAsia="Microsoft YaHei"/>
          <w:b/>
          <w:i w:val="0"/>
          <w:color w:val="1F3A5F"/>
          <w:sz w:val="27"/>
        </w:rPr>
        <w:t>第三条　人事费用率红线</w:t>
      </w:r>
    </w:p>
    <w:p>
      <w:pPr>
        <w:spacing w:line="360" w:lineRule="auto" w:before="0" w:after="60"/>
        <w:ind w:left="240"/>
      </w:pPr>
      <w:r>
        <w:rPr>
          <w:rFonts w:ascii="Microsoft YaHei" w:hAnsi="Microsoft YaHei" w:eastAsia="Microsoft YaHei"/>
          <w:b w:val="0"/>
          <w:i w:val="0"/>
          <w:sz w:val="26"/>
        </w:rPr>
        <w:t>年度人事费用率红线在年初锁定（建议值见行业对标）。月度监控，连续两个月超红线，自动冻结招聘与调薪，直至回落。</w:t>
      </w:r>
    </w:p>
    <w:p>
      <w:pPr>
        <w:spacing w:line="360" w:lineRule="auto" w:before="120" w:after="40"/>
      </w:pPr>
      <w:r>
        <w:rPr>
          <w:rFonts w:ascii="Microsoft YaHei" w:hAnsi="Microsoft YaHei" w:eastAsia="Microsoft YaHei"/>
          <w:b/>
          <w:i w:val="0"/>
          <w:color w:val="1F3A5F"/>
          <w:sz w:val="27"/>
        </w:rPr>
        <w:t>第四条　固浮比按序列分层</w:t>
      </w:r>
    </w:p>
    <w:p>
      <w:pPr>
        <w:spacing w:line="360" w:lineRule="auto" w:before="0" w:after="60"/>
        <w:ind w:left="240"/>
      </w:pPr>
      <w:r>
        <w:rPr>
          <w:rFonts w:ascii="Microsoft YaHei" w:hAnsi="Microsoft YaHei" w:eastAsia="Microsoft YaHei"/>
          <w:b w:val="0"/>
          <w:i w:val="0"/>
          <w:sz w:val="26"/>
        </w:rPr>
        <w:t>固定与浮动比例按序列差异化：高管 / 销售序列浮动占比可到 40%–57%，生产一线 30%–40%，职能后台 20%–30%。浮动部分必须绑定可量化的结果指标。</w:t>
      </w:r>
    </w:p>
    <w:p>
      <w:pPr>
        <w:spacing w:line="360" w:lineRule="auto" w:before="120" w:after="40"/>
      </w:pPr>
      <w:r>
        <w:rPr>
          <w:rFonts w:ascii="Microsoft YaHei" w:hAnsi="Microsoft YaHei" w:eastAsia="Microsoft YaHei"/>
          <w:b/>
          <w:i w:val="0"/>
          <w:color w:val="1F3A5F"/>
          <w:sz w:val="27"/>
        </w:rPr>
        <w:t>第五条　A 类增量锁定不低于 30%</w:t>
      </w:r>
    </w:p>
    <w:p>
      <w:pPr>
        <w:spacing w:line="360" w:lineRule="auto" w:before="0" w:after="60"/>
        <w:ind w:left="240"/>
      </w:pPr>
      <w:r>
        <w:rPr>
          <w:rFonts w:ascii="Microsoft YaHei" w:hAnsi="Microsoft YaHei" w:eastAsia="Microsoft YaHei"/>
          <w:b w:val="0"/>
          <w:i w:val="0"/>
          <w:sz w:val="26"/>
        </w:rPr>
        <w:t>年度薪酬激励增量中，不低于 30% 专项锁定给 A 类关键岗位，不得平摊。</w:t>
      </w:r>
    </w:p>
    <w:p>
      <w:pPr>
        <w:spacing w:line="360" w:lineRule="auto" w:before="120" w:after="40"/>
      </w:pPr>
      <w:r>
        <w:rPr>
          <w:rFonts w:ascii="Microsoft YaHei" w:hAnsi="Microsoft YaHei" w:eastAsia="Microsoft YaHei"/>
          <w:b/>
          <w:i w:val="0"/>
          <w:color w:val="1F3A5F"/>
          <w:sz w:val="27"/>
        </w:rPr>
        <w:t>第六条　涨薪绑定人效</w:t>
      </w:r>
    </w:p>
    <w:p>
      <w:pPr>
        <w:spacing w:line="360" w:lineRule="auto" w:before="0" w:after="60"/>
        <w:ind w:left="240"/>
      </w:pPr>
      <w:r>
        <w:rPr>
          <w:rFonts w:ascii="Microsoft YaHei" w:hAnsi="Microsoft YaHei" w:eastAsia="Microsoft YaHei"/>
          <w:b w:val="0"/>
          <w:i w:val="0"/>
          <w:sz w:val="26"/>
        </w:rPr>
        <w:t>任何调薪方案必须回答：这个钱花出去，哪一项人效指标会改善？答不上来的调薪申请，不予批准。</w:t>
      </w: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五、操作流程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701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时点</w:t>
            </w:r>
          </w:p>
        </w:tc>
        <w:tc>
          <w:tcPr>
            <w:tcW w:type="dxa" w:w="7654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动作</w:t>
            </w:r>
          </w:p>
        </w:tc>
      </w:tr>
      <w:tr>
        <w:tc>
          <w:tcPr>
            <w:tcW w:type="dxa" w:w="1701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M-3</w:t>
            </w:r>
          </w:p>
        </w:tc>
        <w:tc>
          <w:tcPr>
            <w:tcW w:type="dxa" w:w="765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财务按目标营收与目标人事费用率测算总包，报总裁批准</w:t>
            </w:r>
          </w:p>
        </w:tc>
      </w:tr>
      <w:tr>
        <w:tc>
          <w:tcPr>
            <w:tcW w:type="dxa" w:w="1701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M-3</w:t>
            </w:r>
          </w:p>
        </w:tc>
        <w:tc>
          <w:tcPr>
            <w:tcW w:type="dxa" w:w="765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扣除合规刚性成本，形成可分配包</w:t>
            </w:r>
          </w:p>
        </w:tc>
      </w:tr>
      <w:tr>
        <w:tc>
          <w:tcPr>
            <w:tcW w:type="dxa" w:w="1701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M-2</w:t>
            </w:r>
          </w:p>
        </w:tc>
        <w:tc>
          <w:tcPr>
            <w:tcW w:type="dxa" w:w="765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HR 按序列分解，锁定 A 类增量，形成《人工成本预算表》</w:t>
            </w:r>
          </w:p>
        </w:tc>
      </w:tr>
      <w:tr>
        <w:tc>
          <w:tcPr>
            <w:tcW w:type="dxa" w:w="1701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M-2</w:t>
            </w:r>
          </w:p>
        </w:tc>
        <w:tc>
          <w:tcPr>
            <w:tcW w:type="dxa" w:w="765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发布《宽带薪酬对照表》，完成定档</w:t>
            </w:r>
          </w:p>
        </w:tc>
      </w:tr>
      <w:tr>
        <w:tc>
          <w:tcPr>
            <w:tcW w:type="dxa" w:w="1701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M-1</w:t>
            </w:r>
          </w:p>
        </w:tc>
        <w:tc>
          <w:tcPr>
            <w:tcW w:type="dxa" w:w="765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固浮比变更：逐人签署书面变更协议</w:t>
            </w:r>
          </w:p>
        </w:tc>
      </w:tr>
      <w:tr>
        <w:tc>
          <w:tcPr>
            <w:tcW w:type="dxa" w:w="1701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月度</w:t>
            </w:r>
          </w:p>
        </w:tc>
        <w:tc>
          <w:tcPr>
            <w:tcW w:type="dxa" w:w="765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财务监控人事费用率，超红线预警</w:t>
            </w:r>
          </w:p>
        </w:tc>
      </w:tr>
      <w:tr>
        <w:tc>
          <w:tcPr>
            <w:tcW w:type="dxa" w:w="1701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按需</w:t>
            </w:r>
          </w:p>
        </w:tc>
        <w:tc>
          <w:tcPr>
            <w:tcW w:type="dxa" w:w="765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调薪走《调薪审批表》，一岗一表，附人效改善说明</w:t>
            </w:r>
          </w:p>
        </w:tc>
      </w:tr>
    </w:tbl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六、配套表单与智能体</w:t>
      </w:r>
    </w:p>
    <w:p>
      <w:pPr>
        <w:spacing w:line="360" w:lineRule="auto" w:before="0" w:after="80"/>
      </w:pPr>
      <w:r>
        <w:rPr>
          <w:rFonts w:ascii="Microsoft YaHei" w:hAnsi="Microsoft YaHei" w:eastAsia="Microsoft YaHei"/>
          <w:b w:val="0"/>
          <w:i w:val="0"/>
          <w:sz w:val="26"/>
        </w:rPr>
        <w:t>本制度配套以下表单，企业填写后由对应智能体自动生成决议文档：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551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表单名称</w:t>
            </w:r>
          </w:p>
        </w:tc>
        <w:tc>
          <w:tcPr>
            <w:tcW w:type="dxa" w:w="6803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用途</w:t>
            </w:r>
          </w:p>
        </w:tc>
      </w:tr>
      <w:tr>
        <w:tc>
          <w:tcPr>
            <w:tcW w:type="dxa" w:w="2551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人工成本预算表</w:t>
            </w:r>
          </w:p>
        </w:tc>
        <w:tc>
          <w:tcPr>
            <w:tcW w:type="dxa" w:w="6803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按序列分解总包、固定 / 浮动、A 类增量锁定</w:t>
            </w:r>
          </w:p>
        </w:tc>
      </w:tr>
      <w:tr>
        <w:tc>
          <w:tcPr>
            <w:tcW w:type="dxa" w:w="2551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宽带薪酬对照表</w:t>
            </w:r>
          </w:p>
        </w:tc>
        <w:tc>
          <w:tcPr>
            <w:tcW w:type="dxa" w:w="6803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每序列 2–3 级，标注下限 / 中位 / 上限与是否 A 类</w:t>
            </w:r>
          </w:p>
        </w:tc>
      </w:tr>
      <w:tr>
        <w:tc>
          <w:tcPr>
            <w:tcW w:type="dxa" w:w="2551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调薪审批表</w:t>
            </w:r>
          </w:p>
        </w:tc>
        <w:tc>
          <w:tcPr>
            <w:tcW w:type="dxa" w:w="6803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逐人登记调薪幅度、依据、绑定的人效指标、审批链</w:t>
            </w:r>
          </w:p>
        </w:tc>
      </w:tr>
    </w:tbl>
    <w:p>
      <w:pPr>
        <w:spacing w:line="360" w:lineRule="auto" w:before="0" w:after="80"/>
      </w:pPr>
    </w:p>
    <w:p>
      <w:pPr>
        <w:spacing w:line="360" w:lineRule="auto" w:before="0" w:after="80"/>
      </w:pPr>
      <w:r>
        <w:rPr>
          <w:rFonts w:ascii="Microsoft YaHei" w:hAnsi="Microsoft YaHei" w:eastAsia="Microsoft YaHei"/>
          <w:b/>
          <w:i w:val="0"/>
          <w:color w:val="1F3A5F"/>
          <w:sz w:val="26"/>
        </w:rPr>
        <w:t>对应智能体：</w:t>
      </w:r>
      <w:r>
        <w:rPr>
          <w:rFonts w:ascii="Microsoft YaHei" w:hAnsi="Microsoft YaHei" w:eastAsia="Microsoft YaHei"/>
          <w:b w:val="0"/>
          <w:i w:val="0"/>
          <w:sz w:val="26"/>
        </w:rPr>
        <w:t>⑥ 薪酬方案智能体、⑦ 绩效穿透智能体（通用引擎 ⑥⑦）</w:t>
      </w: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七、附则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本制度自签发之日起生效，由人力资源部负责解释与修订。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本制度与《总裁决策签约书》配套使用；两者冲突时，以签约书为准。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本制度每年至少复盘一次，复盘结果纳入季度人效复盘表。</w:t>
      </w:r>
    </w:p>
    <w:p>
      <w:pPr>
        <w:spacing w:line="360" w:lineRule="auto" w:before="0" w:after="200"/>
      </w:pPr>
    </w:p>
    <w:p>
      <w:pPr>
        <w:spacing w:before="280"/>
      </w:pPr>
      <w:r>
        <w:rPr>
          <w:rFonts w:ascii="Microsoft YaHei" w:hAnsi="Microsoft YaHei" w:eastAsia="Microsoft YaHei"/>
          <w:b/>
          <w:i w:val="0"/>
          <w:sz w:val="26"/>
        </w:rPr>
        <w:t>签发人（签字）：</w:t>
      </w:r>
      <w:r>
        <w:rPr>
          <w:rFonts w:ascii="Microsoft YaHei" w:hAnsi="Microsoft YaHei" w:eastAsia="Microsoft YaHei"/>
          <w:b w:val="0"/>
          <w:i w:val="0"/>
          <w:color w:val="595959"/>
          <w:sz w:val="26"/>
        </w:rPr>
        <w:t>＿＿＿＿＿＿＿＿＿＿＿＿＿＿＿＿＿＿＿＿＿＿＿＿</w:t>
      </w:r>
      <w:r>
        <w:rPr>
          <w:rFonts w:ascii="Microsoft YaHei" w:hAnsi="Microsoft YaHei" w:eastAsia="Microsoft YaHei"/>
          <w:b w:val="0"/>
          <w:i w:val="0"/>
          <w:sz w:val="26"/>
        </w:rPr>
        <w:t xml:space="preserve">　　　</w:t>
      </w:r>
      <w:r>
        <w:rPr>
          <w:rFonts w:ascii="Microsoft YaHei" w:hAnsi="Microsoft YaHei" w:eastAsia="Microsoft YaHei"/>
          <w:b/>
          <w:i w:val="0"/>
          <w:sz w:val="26"/>
        </w:rPr>
        <w:t>日期：</w:t>
      </w:r>
      <w:r>
        <w:rPr>
          <w:rFonts w:ascii="Microsoft YaHei" w:hAnsi="Microsoft YaHei" w:eastAsia="Microsoft YaHei"/>
          <w:b w:val="0"/>
          <w:i w:val="0"/>
          <w:color w:val="595959"/>
          <w:sz w:val="26"/>
        </w:rPr>
        <w:t>＿＿＿＿＿＿＿＿＿＿＿＿＿＿＿＿＿＿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Microsoft YaHei" w:hAnsi="Microsoft YaHei" w:eastAsia="Microsoft YaHe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