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江城银行流动资金贷款管理暂行办法（节选）</w:t>
      </w:r>
    </w:p>
    <w:p>
      <w:r>
        <w:t>发文号：江城银发〔2024〕7号  生效日：2024-03-15</w:t>
      </w:r>
    </w:p>
    <w:p>
      <w:pPr>
        <w:pStyle w:val="Heading1"/>
      </w:pPr>
      <w:r>
        <w:t>第三章 借款人条件</w:t>
      </w:r>
    </w:p>
    <w:p>
      <w:r>
        <w:t>第十三条 借款人应具备持续经营能力，近三年无重大不良信用记录。</w:t>
      </w:r>
    </w:p>
    <w:p>
      <w:r>
        <w:t>第十四条 流动资金贷款不得用于固定资产、股权投资或房地产领域。</w:t>
      </w:r>
    </w:p>
    <w:p>
      <w:pPr>
        <w:pStyle w:val="Heading1"/>
      </w:pPr>
      <w:r>
        <w:t>第四章 额度与期限</w:t>
      </w:r>
    </w:p>
    <w:p>
      <w:r>
        <w:t>第十八条 流贷期限原则上不超过三年，单户流贷敞口不超过其上年度营业收入的50%。</w:t>
      </w:r>
    </w:p>
    <w:p>
      <w:r>
        <w:t>第十九条 对抵押物不足的科技型小微企业，可结合政府性融资担保增信。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