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江城银行反洗钱客户身份识别与尽职调查制度（节选）</w:t>
      </w:r>
    </w:p>
    <w:p>
      <w:r>
        <w:t>发文号：江城银发〔2024〕21号  生效日：2024-07-01</w:t>
      </w:r>
    </w:p>
    <w:p>
      <w:pPr>
        <w:pStyle w:val="Heading1"/>
      </w:pPr>
      <w:r>
        <w:t>第二章 客户身份识别</w:t>
      </w:r>
    </w:p>
    <w:p>
      <w:r>
        <w:t>第八条 建立业务关系前，应完成客户身份识别（KYC）并核实受益所有人。</w:t>
      </w:r>
    </w:p>
    <w:p>
      <w:r>
        <w:t>第九条 对高风险客户（如跨境贸易、现金密集型）应提高尽职调查层级。</w:t>
      </w:r>
    </w:p>
    <w:p>
      <w:pPr>
        <w:pStyle w:val="Heading1"/>
      </w:pPr>
      <w:r>
        <w:t>第三章 可疑交易</w:t>
      </w:r>
    </w:p>
    <w:p>
      <w:r>
        <w:t>第十五条 发现可疑交易应在5个工作日内向中国反洗钱监测分析中心报送。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