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技术方案初稿</w:t>
      </w:r>
    </w:p>
    <w:p>
      <w:pPr>
        <w:jc w:val="center"/>
      </w:pPr>
      <w:r>
        <w:rPr>
          <w:rFonts w:ascii="Microsoft YaHei" w:hAnsi="Microsoft YaHei" w:eastAsia="Microsoft YaHei"/>
          <w:sz w:val="20"/>
        </w:rPr>
        <w:t>港华新能源综合能源项目（模拟训练材料）</w:t>
      </w:r>
    </w:p>
    <w:p>
      <w:r>
        <w:rPr>
          <w:rFonts w:ascii="Microsoft YaHei" w:hAnsi="Microsoft YaHei" w:eastAsia="Microsoft YaHei"/>
          <w:b/>
          <w:sz w:val="28"/>
        </w:rPr>
        <w:t>1. 总体技术路线</w:t>
      </w:r>
    </w:p>
    <w:p>
      <w:pPr>
        <w:spacing w:line="336" w:lineRule="auto"/>
        <w:ind w:firstLine="420"/>
      </w:pPr>
      <w:r>
        <w:rPr>
          <w:rFonts w:ascii="Microsoft YaHei" w:hAnsi="Microsoft YaHei" w:eastAsia="Microsoft YaHei"/>
          <w:sz w:val="21"/>
        </w:rPr>
        <w:t>建议采用“分布式光伏 + 用户侧储能 + 智能能源管理平台（EMS）”的组合方案。光伏承担白天基础发电，储能用于削峰填谷与需量控制，EMS统一采集电表、逆变器、储能PCS/BMS及园区负荷数据。</w:t>
      </w:r>
    </w:p>
    <w:p>
      <w:r>
        <w:rPr>
          <w:rFonts w:ascii="Microsoft YaHei" w:hAnsi="Microsoft YaHei" w:eastAsia="Microsoft YaHei"/>
          <w:b/>
          <w:sz w:val="28"/>
        </w:rPr>
        <w:t>2. 分布式光伏方案</w:t>
      </w:r>
    </w:p>
    <w:p>
      <w:pPr>
        <w:spacing w:line="336" w:lineRule="auto"/>
        <w:ind w:firstLine="420"/>
      </w:pPr>
      <w:r>
        <w:rPr>
          <w:rFonts w:ascii="Microsoft YaHei" w:hAnsi="Microsoft YaHei" w:eastAsia="Microsoft YaHei"/>
          <w:sz w:val="21"/>
        </w:rPr>
        <w:t>初步建议装机容量4.5MWp。按可利用屋顶约23,500㎡估算，采用N型高效组件与组串式逆变器，设计年等效利用小时约1,080h，首年理论发电量约486万kWh。考虑遮挡、温升、线损、灰尘与衰减后，工程阶段需用PVsyst或同类工具进一步校核。</w:t>
      </w:r>
    </w:p>
    <w:p>
      <w:r>
        <w:rPr>
          <w:rFonts w:ascii="Microsoft YaHei" w:hAnsi="Microsoft YaHei" w:eastAsia="Microsoft YaHei"/>
          <w:b/>
          <w:sz w:val="28"/>
        </w:rPr>
        <w:t>3. 用户侧储能方案</w:t>
      </w:r>
    </w:p>
    <w:p>
      <w:pPr>
        <w:spacing w:line="336" w:lineRule="auto"/>
        <w:ind w:firstLine="420"/>
      </w:pPr>
      <w:r>
        <w:rPr>
          <w:rFonts w:ascii="Microsoft YaHei" w:hAnsi="Microsoft YaHei" w:eastAsia="Microsoft YaHei"/>
          <w:sz w:val="21"/>
        </w:rPr>
        <w:t>初步建议储能规模2MW/4MWh，采用磷酸铁锂电池，主要策略为峰谷套利、最大需量控制与光伏消纳协同。储能收益需结合当地最新分时电价、基本电费计费方式及循环寿命重新测算。</w:t>
      </w:r>
    </w:p>
    <w:p>
      <w:r>
        <w:rPr>
          <w:rFonts w:ascii="Microsoft YaHei" w:hAnsi="Microsoft YaHei" w:eastAsia="Microsoft YaHei"/>
          <w:b/>
          <w:sz w:val="28"/>
        </w:rPr>
        <w:t>4. 能源管理平台</w:t>
      </w:r>
    </w:p>
    <w:p>
      <w:pPr>
        <w:spacing w:line="336" w:lineRule="auto"/>
        <w:ind w:firstLine="420"/>
      </w:pPr>
      <w:r>
        <w:rPr>
          <w:rFonts w:ascii="Microsoft YaHei" w:hAnsi="Microsoft YaHei" w:eastAsia="Microsoft YaHei"/>
          <w:sz w:val="21"/>
        </w:rPr>
        <w:t>EMS应实现15分钟级负荷预测、光伏发电预测、储能策略下发、需量预警、设备告警、能源报表及收益核算。平台需保留人工干预和策略审批机制。</w:t>
      </w:r>
    </w:p>
    <w:p>
      <w:r>
        <w:rPr>
          <w:rFonts w:ascii="Microsoft YaHei" w:hAnsi="Microsoft YaHei" w:eastAsia="Microsoft YaHei"/>
          <w:b/>
          <w:sz w:val="28"/>
        </w:rPr>
        <w:t>5. 关键工程条件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t>项目</w:t>
            </w:r>
          </w:p>
        </w:tc>
        <w:tc>
          <w:tcPr>
            <w:tcW w:type="dxa" w:w="2379"/>
          </w:tcPr>
          <w:p>
            <w:r>
              <w:t>初步值</w:t>
            </w:r>
          </w:p>
        </w:tc>
        <w:tc>
          <w:tcPr>
            <w:tcW w:type="dxa" w:w="2379"/>
          </w:tcPr>
          <w:p>
            <w:r>
              <w:t>待确认资料</w:t>
            </w:r>
          </w:p>
        </w:tc>
        <w:tc>
          <w:tcPr>
            <w:tcW w:type="dxa" w:w="2379"/>
          </w:tcPr>
          <w:p>
            <w:r>
              <w:t>影响</w:t>
            </w:r>
          </w:p>
        </w:tc>
      </w:tr>
      <w:tr>
        <w:tc>
          <w:tcPr>
            <w:tcW w:type="dxa" w:w="2379"/>
          </w:tcPr>
          <w:p>
            <w:r>
              <w:t>光伏容量</w:t>
            </w:r>
          </w:p>
        </w:tc>
        <w:tc>
          <w:tcPr>
            <w:tcW w:type="dxa" w:w="2379"/>
          </w:tcPr>
          <w:p>
            <w:r>
              <w:t>4.5MWp</w:t>
            </w:r>
          </w:p>
        </w:tc>
        <w:tc>
          <w:tcPr>
            <w:tcW w:type="dxa" w:w="2379"/>
          </w:tcPr>
          <w:p>
            <w:r>
              <w:t>屋面荷载、阴影、消防间距</w:t>
            </w:r>
          </w:p>
        </w:tc>
        <w:tc>
          <w:tcPr>
            <w:tcW w:type="dxa" w:w="2379"/>
          </w:tcPr>
          <w:p>
            <w:r>
              <w:t>影响可安装容量</w:t>
            </w:r>
          </w:p>
        </w:tc>
      </w:tr>
      <w:tr>
        <w:tc>
          <w:tcPr>
            <w:tcW w:type="dxa" w:w="2379"/>
          </w:tcPr>
          <w:p>
            <w:r>
              <w:t>储能容量</w:t>
            </w:r>
          </w:p>
        </w:tc>
        <w:tc>
          <w:tcPr>
            <w:tcW w:type="dxa" w:w="2379"/>
          </w:tcPr>
          <w:p>
            <w:r>
              <w:t>2MW/4MWh</w:t>
            </w:r>
          </w:p>
        </w:tc>
        <w:tc>
          <w:tcPr>
            <w:tcW w:type="dxa" w:w="2379"/>
          </w:tcPr>
          <w:p>
            <w:r>
              <w:t>负荷曲线、峰谷电价、需量计费</w:t>
            </w:r>
          </w:p>
        </w:tc>
        <w:tc>
          <w:tcPr>
            <w:tcW w:type="dxa" w:w="2379"/>
          </w:tcPr>
          <w:p>
            <w:r>
              <w:t>影响经济性</w:t>
            </w:r>
          </w:p>
        </w:tc>
      </w:tr>
      <w:tr>
        <w:tc>
          <w:tcPr>
            <w:tcW w:type="dxa" w:w="2379"/>
          </w:tcPr>
          <w:p>
            <w:r>
              <w:t>并网方式</w:t>
            </w:r>
          </w:p>
        </w:tc>
        <w:tc>
          <w:tcPr>
            <w:tcW w:type="dxa" w:w="2379"/>
          </w:tcPr>
          <w:p>
            <w:r>
              <w:t>0.4kV/10kV侧接入待校核</w:t>
            </w:r>
          </w:p>
        </w:tc>
        <w:tc>
          <w:tcPr>
            <w:tcW w:type="dxa" w:w="2379"/>
          </w:tcPr>
          <w:p>
            <w:r>
              <w:t>一次系统图、保护定值</w:t>
            </w:r>
          </w:p>
        </w:tc>
        <w:tc>
          <w:tcPr>
            <w:tcW w:type="dxa" w:w="2379"/>
          </w:tcPr>
          <w:p>
            <w:r>
              <w:t>影响接入方案</w:t>
            </w:r>
          </w:p>
        </w:tc>
      </w:tr>
      <w:tr>
        <w:tc>
          <w:tcPr>
            <w:tcW w:type="dxa" w:w="2379"/>
          </w:tcPr>
          <w:p>
            <w:r>
              <w:t>施工组织</w:t>
            </w:r>
          </w:p>
        </w:tc>
        <w:tc>
          <w:tcPr>
            <w:tcW w:type="dxa" w:w="2379"/>
          </w:tcPr>
          <w:p>
            <w:r>
              <w:t>分区施工</w:t>
            </w:r>
          </w:p>
        </w:tc>
        <w:tc>
          <w:tcPr>
            <w:tcW w:type="dxa" w:w="2379"/>
          </w:tcPr>
          <w:p>
            <w:r>
              <w:t>生产停机窗口、吊装路线</w:t>
            </w:r>
          </w:p>
        </w:tc>
        <w:tc>
          <w:tcPr>
            <w:tcW w:type="dxa" w:w="2379"/>
          </w:tcPr>
          <w:p>
            <w:r>
              <w:t>影响工期与生产</w:t>
            </w:r>
          </w:p>
        </w:tc>
      </w:tr>
    </w:tbl>
    <w:p>
      <w:r>
        <w:rPr>
          <w:rFonts w:ascii="Microsoft YaHei" w:hAnsi="Microsoft YaHei" w:eastAsia="Microsoft YaHei"/>
          <w:b/>
          <w:sz w:val="28"/>
        </w:rPr>
        <w:t>6. 初步风险</w:t>
      </w:r>
    </w:p>
    <w:p>
      <w:pPr>
        <w:spacing w:line="336" w:lineRule="auto"/>
        <w:ind w:firstLine="420"/>
      </w:pPr>
      <w:r>
        <w:rPr>
          <w:rFonts w:ascii="Microsoft YaHei" w:hAnsi="Microsoft YaHei" w:eastAsia="Microsoft YaHei"/>
          <w:sz w:val="21"/>
        </w:rPr>
        <w:t>主要风险包括屋面结构承载不足、实际可利用面积低于预期、并网容量受限、储能消防审查周期延长、电价政策变化以及生产不停线条件导致施工窗口不足。建议立项后立即开展现场勘测、负荷数据采集、结构复核与供电部门接入沟通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