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5E6B3B"/>
          <w:sz w:val="24"/>
          <w:szCs w:val="24"/>
        </w:rPr>
        <w:t xml:space="preserve">AI深度应用实战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/>
          <w:bCs/>
          <w:color w:val="163A2E"/>
          <w:sz w:val="38"/>
          <w:szCs w:val="38"/>
        </w:rPr>
        <w:t xml:space="preserve">关卡02统一模拟素材包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用途：用于关卡02“战略部署与立项文档”练习。学员可将本素材复制给 AI，生成管理层可读的项目立项报告、数据对比表、公式测算和手绘草图。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6A4A1F"/>
          <w:sz w:val="20"/>
          <w:szCs w:val="20"/>
        </w:rPr>
        <w:t xml:space="preserve">说明：以下内容为课堂模拟素材，仅供训练提示词、文档结构化和业务分析使用，不代表真实经营数据。</w:t>
      </w:r>
    </w:p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一、项目背景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某日化品牌计划推进“智净终端项目”，希望用 AI 提升终端运营效率，包括终端内容生成、导购培训、经销商答疑、项目进度汇报和管理层复盘。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当前一线团队反馈：内容制作慢、各区域口径不一致、经销商问题重复、总部难以及时掌握终端执行进度。项目组希望先在重点区域试点，再形成可复制的终端 AI 应用方案。</w:t>
      </w:r>
    </w:p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二、关卡任务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760"/>
      </w:tblGrid>
      <w:tr>
        <w:tc>
          <w:tcPr>
            <w:tcW w:type="dxa" w:w="1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任务</w:t>
            </w:r>
          </w:p>
        </w:tc>
        <w:tc>
          <w:tcPr>
            <w:tcW w:type="dxa" w:w="4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交付物</w:t>
            </w:r>
          </w:p>
        </w:tc>
        <w:tc>
          <w:tcPr>
            <w:tcW w:type="dxa" w:w="37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评价重点</w:t>
            </w:r>
          </w:p>
        </w:tc>
      </w:tr>
      <w:tr>
        <w:tc>
          <w:tcPr>
            <w:tcW w:type="dxa" w:w="1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任务1</w:t>
            </w:r>
          </w:p>
        </w:tc>
        <w:tc>
          <w:tcPr>
            <w:tcW w:type="dxa" w:w="4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一份适合管理层审阅的 Word 立项报告框架</w:t>
            </w:r>
          </w:p>
        </w:tc>
        <w:tc>
          <w:tcPr>
            <w:tcW w:type="dxa" w:w="37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是否有背景、问题、方案、价值和行动闭环</w:t>
            </w:r>
          </w:p>
        </w:tc>
      </w:tr>
      <w:tr>
        <w:tc>
          <w:tcPr>
            <w:tcW w:type="dxa" w:w="1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任务2</w:t>
            </w:r>
          </w:p>
        </w:tc>
        <w:tc>
          <w:tcPr>
            <w:tcW w:type="dxa" w:w="4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一张区域/渠道数据对比表</w:t>
            </w:r>
          </w:p>
        </w:tc>
        <w:tc>
          <w:tcPr>
            <w:tcW w:type="dxa" w:w="37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是否严格基于素材，口径统一，结论有依据</w:t>
            </w:r>
          </w:p>
        </w:tc>
      </w:tr>
      <w:tr>
        <w:tc>
          <w:tcPr>
            <w:tcW w:type="dxa" w:w="1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任务3</w:t>
            </w:r>
          </w:p>
        </w:tc>
        <w:tc>
          <w:tcPr>
            <w:tcW w:type="dxa" w:w="4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一组项目测算公式</w:t>
            </w:r>
          </w:p>
        </w:tc>
        <w:tc>
          <w:tcPr>
            <w:tcW w:type="dxa" w:w="37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是否能解释变量、单位、假设和计算逻辑</w:t>
            </w:r>
          </w:p>
        </w:tc>
      </w:tr>
      <w:tr>
        <w:tc>
          <w:tcPr>
            <w:tcW w:type="dxa" w:w="1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任务4</w:t>
            </w:r>
          </w:p>
        </w:tc>
        <w:tc>
          <w:tcPr>
            <w:tcW w:type="dxa" w:w="43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一张项目路径手绘草图提示词</w:t>
            </w:r>
          </w:p>
        </w:tc>
        <w:tc>
          <w:tcPr>
            <w:tcW w:type="dxa" w:w="37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是否能把复杂项目讲清楚、画面不拥挤</w:t>
            </w:r>
          </w:p>
        </w:tc>
      </w:tr>
    </w:tbl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三、模拟业务数据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00"/>
        <w:gridCol w:w="1200"/>
        <w:gridCol w:w="1200"/>
        <w:gridCol w:w="2460"/>
      </w:tblGrid>
      <w:tr>
        <w:tc>
          <w:tcPr>
            <w:tcW w:type="dxa" w:w="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区域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覆盖终端点位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月均动销规模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内容更新周期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预计内容需求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平均落地周期</w:t>
            </w:r>
          </w:p>
        </w:tc>
        <w:tc>
          <w:tcPr>
            <w:tcW w:type="dxa" w:w="24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主要痛点</w:t>
            </w:r>
          </w:p>
        </w:tc>
      </w:tr>
      <w:tr>
        <w:tc>
          <w:tcPr>
            <w:tcW w:type="dxa" w:w="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华东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1,200 个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420 万元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45 天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1,800 条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6 周</w:t>
            </w:r>
          </w:p>
        </w:tc>
        <w:tc>
          <w:tcPr>
            <w:tcW w:type="dxa" w:w="24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终端点位多，内容标准化压力大</w:t>
            </w:r>
          </w:p>
        </w:tc>
      </w:tr>
      <w:tr>
        <w:tc>
          <w:tcPr>
            <w:tcW w:type="dxa" w:w="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华南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950 个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360 万元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50 天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1,350 条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7 周</w:t>
            </w:r>
          </w:p>
        </w:tc>
        <w:tc>
          <w:tcPr>
            <w:tcW w:type="dxa" w:w="24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渠道反馈快，但培训口径分散</w:t>
            </w:r>
          </w:p>
        </w:tc>
      </w:tr>
      <w:tr>
        <w:tc>
          <w:tcPr>
            <w:tcW w:type="dxa" w:w="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华北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780 个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260 万元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55 天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920 条</w:t>
            </w:r>
          </w:p>
        </w:tc>
        <w:tc>
          <w:tcPr>
            <w:tcW w:type="dxa" w:w="1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9 周</w:t>
            </w:r>
          </w:p>
        </w:tc>
        <w:tc>
          <w:tcPr>
            <w:tcW w:type="dxa" w:w="24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执行链路长，进度回传慢</w:t>
            </w:r>
          </w:p>
        </w:tc>
      </w:tr>
    </w:tbl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四、资源与约束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项目项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模拟口径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试点周期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8 周内完成首轮试点，覆盖 12 个重点样板区域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用于制定里程碑和周报节奏</w:t>
            </w:r>
          </w:p>
        </w:tc>
      </w:tr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预算上限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80 万元/试点期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包含工具、培训、内容制作和运营支持</w:t>
            </w:r>
          </w:p>
        </w:tc>
      </w:tr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AI 工具与接口采购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18 万元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用于知识库、文档生成、问答和看板辅助</w:t>
            </w:r>
          </w:p>
        </w:tc>
      </w:tr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培训转化目标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50%-65%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以完成培训并能独立使用工具的人数占比计算</w:t>
            </w:r>
          </w:p>
        </w:tc>
      </w:tr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经销商答疑响应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由 6-9 小时压缩至 30 分钟内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适合设计智能体问答与知识库</w:t>
            </w:r>
          </w:p>
        </w:tc>
      </w:tr>
      <w:tr>
        <w:tc>
          <w:tcPr>
            <w:tcW w:type="dxa" w:w="22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内容复用率目标</w:t>
            </w:r>
          </w:p>
        </w:tc>
        <w:tc>
          <w:tcPr>
            <w:tcW w:type="dxa" w:w="30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40%-60%</w:t>
            </w:r>
          </w:p>
        </w:tc>
        <w:tc>
          <w:tcPr>
            <w:tcW w:type="dxa" w:w="41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以同一素材可复用到不同渠道/门店的比例计算</w:t>
            </w:r>
          </w:p>
        </w:tc>
      </w:tr>
    </w:tbl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五、可使用公式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c>
          <w:tcPr>
            <w:tcW w:type="dxa" w:w="16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公式名称</w:t>
            </w:r>
          </w:p>
        </w:tc>
        <w:tc>
          <w:tcPr>
            <w:tcW w:type="dxa" w:w="3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公式</w:t>
            </w:r>
          </w:p>
        </w:tc>
        <w:tc>
          <w:tcPr>
            <w:tcW w:type="dxa" w:w="38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shd w:fill="DDEBE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2B24"/>
                <w:sz w:val="19"/>
                <w:szCs w:val="19"/>
              </w:rPr>
              <w:t xml:space="preserve">变量说明</w:t>
            </w:r>
          </w:p>
        </w:tc>
      </w:tr>
      <w:tr>
        <w:tc>
          <w:tcPr>
            <w:tcW w:type="dxa" w:w="16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项目净收益</w:t>
            </w:r>
          </w:p>
        </w:tc>
        <w:tc>
          <w:tcPr>
            <w:tcW w:type="dxa" w:w="3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项目净收益 = 增量毛利 + 降本收益 + 效率收益 - 项目投入</w:t>
            </w:r>
          </w:p>
        </w:tc>
        <w:tc>
          <w:tcPr>
            <w:tcW w:type="dxa" w:w="38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用于估算项目综合价值</w:t>
            </w:r>
          </w:p>
        </w:tc>
      </w:tr>
      <w:tr>
        <w:tc>
          <w:tcPr>
            <w:tcW w:type="dxa" w:w="16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增量毛利</w:t>
            </w:r>
          </w:p>
        </w:tc>
        <w:tc>
          <w:tcPr>
            <w:tcW w:type="dxa" w:w="3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增量毛利 = 增量销售额 × 毛利率</w:t>
            </w:r>
          </w:p>
        </w:tc>
        <w:tc>
          <w:tcPr>
            <w:tcW w:type="dxa" w:w="38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增量销售额可由试点区域动销变化估算</w:t>
            </w:r>
          </w:p>
        </w:tc>
      </w:tr>
      <w:tr>
        <w:tc>
          <w:tcPr>
            <w:tcW w:type="dxa" w:w="16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投入产出比</w:t>
            </w:r>
          </w:p>
        </w:tc>
        <w:tc>
          <w:tcPr>
            <w:tcW w:type="dxa" w:w="3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ROI = 项目净收益 ÷ 项目投入 × 100%</w:t>
            </w:r>
          </w:p>
        </w:tc>
        <w:tc>
          <w:tcPr>
            <w:tcW w:type="dxa" w:w="38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用于管理层判断是否扩大试点</w:t>
            </w:r>
          </w:p>
        </w:tc>
      </w:tr>
      <w:tr>
        <w:tc>
          <w:tcPr>
            <w:tcW w:type="dxa" w:w="16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交付周期</w:t>
            </w:r>
          </w:p>
        </w:tc>
        <w:tc>
          <w:tcPr>
            <w:tcW w:type="dxa" w:w="390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交付周期 = 需求确认 + 内容生成 + 审核发布 - 自动化节约时间</w:t>
            </w:r>
          </w:p>
        </w:tc>
        <w:tc>
          <w:tcPr>
            <w:tcW w:type="dxa" w:w="3860"/>
            <w:tcBorders>
              <w:top w:val="single" w:color="C9D4CE" w:sz="1"/>
              <w:left w:val="single" w:color="C9D4CE" w:sz="1"/>
              <w:bottom w:val="single" w:color="C9D4CE" w:sz="1"/>
              <w:right w:val="single" w:color="C9D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B24"/>
                <w:sz w:val="19"/>
                <w:szCs w:val="19"/>
              </w:rPr>
              <w:t xml:space="preserve">用于说明 AI 对流程效率的影响</w:t>
            </w:r>
          </w:p>
        </w:tc>
      </w:tr>
    </w:tbl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六、建议提示词使用顺序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1. 先使用“原文数据整理与对比表格”提示词，把本素材整理成对比表。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2. 再使用“数据校验、缺失补充与实时更新”提示词，标注哪些数据是模拟数据、哪些需要外部补充。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3. 使用“业务描述转公式”提示词，把项目价值、ROI、效率提升转成可解释公式。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4. 使用“高记忆 Word 文档提示词”，生成管理层可读的正式立项报告。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5. 最后使用“手绘草图提示词”，把项目路径画成一页图。</w:t>
      </w:r>
    </w:p>
    <w:p>
      <w:pPr>
        <w:pStyle w:val="Heading1"/>
        <w:spacing w:after="160" w:before="260"/>
      </w:pPr>
      <w:r>
        <w:rPr>
          <w:rFonts w:ascii="Microsoft YaHei" w:cs="Microsoft YaHei" w:eastAsia="Microsoft YaHei" w:hAnsi="Microsoft YaHei"/>
          <w:b/>
          <w:bCs/>
          <w:color w:val="163A2E"/>
          <w:sz w:val="32"/>
          <w:szCs w:val="32"/>
        </w:rPr>
        <w:t xml:space="preserve">七、报告写作要求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报告必须围绕“为什么做、做什么、怎么做、值不值、谁负责、何时交付”形成闭环。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所有数字必须注明来自“课堂模拟素材”。如果需要外部真实数据，应在报告中标注“待补充”或“需联网核验”。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E2B24"/>
          <w:sz w:val="22"/>
          <w:szCs w:val="22"/>
        </w:rPr>
        <w:t xml:space="preserve">管理层摘要建议控制在 300 字以内，结论先行，重点突出试点价值、风险和决策事项。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63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color w:val="2B5A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2026-07-16T02:33:48.504Z</dcterms:created>
  <dcterms:modified xsi:type="dcterms:W3CDTF">2026-07-16T02:33:48.521Z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