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0B3A7E"/>
          <w:sz w:val="32"/>
          <w:szCs w:val="32"/>
        </w:rPr>
        <w:t xml:space="preserve">城市悦享联名信用卡·秋季焕新计划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4748B"/>
          <w:sz w:val="18"/>
          <w:szCs w:val="18"/>
        </w:rPr>
        <w:t xml:space="preserve">教学模拟资料｜版本：V1.2｜拟发布：2026年9月10日</w:t>
      </w:r>
    </w:p>
    <w:p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color w:val="0B3A7E"/>
        </w:rPr>
        <w:t xml:space="preserve">一、项目背景</w:t>
      </w:r>
    </w:p>
    <w:p>
      <w:pPr>
        <w:spacing w:after="140"/>
      </w:pPr>
      <w:r>
        <w:rPr>
          <w:rFonts w:ascii="Microsoft YaHei" w:cs="Microsoft YaHei" w:eastAsia="Microsoft YaHei" w:hAnsi="Microsoft YaHei"/>
        </w:rPr>
        <w:t xml:space="preserve">为提升城市青年客群的首刷激活与本地生活消费，信用卡中心拟与“悦享生活”平台开展秋季联名活动。活动覆盖咖啡、影院、健身和通勤四类高频场景，渠道由直营网点、线上内容号和合作商户共同参与。</w:t>
      </w:r>
    </w:p>
    <w:p>
      <w:pPr>
        <w:pStyle w:val="Heading1"/>
      </w:pPr>
      <w:r>
        <w:rPr>
          <w:rFonts w:ascii="Microsoft YaHei" w:cs="Microsoft YaHei" w:eastAsia="Microsoft YaHei" w:hAnsi="Microsoft YaHei"/>
          <w:color w:val="0B3A7E"/>
        </w:rPr>
        <w:t xml:space="preserve">二、活动目标与时间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项目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确认口径</w:t>
            </w:r>
          </w:p>
        </w:tc>
      </w:tr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活动周期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2026年9月10日—10月31日</w:t>
            </w:r>
          </w:p>
        </w:tc>
      </w:tr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新增激活目标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18,000张（以首刷成功为准）</w:t>
            </w:r>
          </w:p>
        </w:tc>
      </w:tr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交易金额目标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1,200万元</w:t>
            </w:r>
          </w:p>
        </w:tc>
      </w:tr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营销预算上限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120万元</w:t>
            </w:r>
          </w:p>
        </w:tc>
      </w:tr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重点城市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上海、杭州、南京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color w:val="0B3A7E"/>
        </w:rPr>
        <w:t xml:space="preserve">三、产品权益与参与条件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权益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规则</w:t>
            </w:r>
          </w:p>
        </w:tc>
      </w:tr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新户首刷礼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首笔满99元消费后7个工作日内获得30元平台券</w:t>
            </w:r>
          </w:p>
        </w:tc>
      </w:tr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分期加码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单笔满1,000元，3期手续费优惠；以系统展示为准</w:t>
            </w:r>
          </w:p>
        </w:tc>
      </w:tr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商户专享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指定合作商户满100元立减20元，每卡每月限2次</w:t>
            </w:r>
          </w:p>
        </w:tc>
      </w:tr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参与条件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仅限活动期内完成激活且符合活动规则的主卡客户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color w:val="0B3A7E"/>
        </w:rPr>
        <w:t xml:space="preserve">四、渠道与商户安排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渠道/角色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职责</w:t>
            </w:r>
          </w:p>
        </w:tc>
      </w:tr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直营网点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引导申请、核验材料、完成激活提醒</w:t>
            </w:r>
          </w:p>
        </w:tc>
      </w:tr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线上内容号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发布权益解读与活动报名页，不承诺收益或审批结果</w:t>
            </w:r>
          </w:p>
        </w:tc>
      </w:tr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重点商户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布放物料、核销优惠、反馈到店转化</w:t>
            </w:r>
          </w:p>
        </w:tc>
      </w:tr>
      <w:tr>
        <w:tc>
          <w:tcPr>
            <w:tcW w:type="dxa" w:w="23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运营组</w:t>
            </w:r>
          </w:p>
        </w:tc>
        <w:tc>
          <w:tcPr>
            <w:tcW w:type="dxa" w:w="67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汇总日报、监测预算、发起异常复核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color w:val="0B3A7E"/>
        </w:rPr>
        <w:t xml:space="preserve">五、合规提示</w:t>
      </w:r>
    </w:p>
    <w:p>
      <w:pPr>
        <w:spacing w:after="140"/>
      </w:pPr>
      <w:r>
        <w:rPr>
          <w:rFonts w:ascii="Microsoft YaHei" w:cs="Microsoft YaHei" w:eastAsia="Microsoft YaHei" w:hAnsi="Microsoft YaHei"/>
        </w:rPr>
        <w:t xml:space="preserve">对外文案须使用已审定权益表述；不得展示客户名单、交易明细或未经授权的商户结算数据。任何费率、资格、核销和发奖结论以系统规则及人工复核为准。</w:t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2026-08-23T00:44:30.559Z</dcterms:created>
  <dcterms:modified xsi:type="dcterms:W3CDTF">2026-08-23T00:44:30.572Z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