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037F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center"/>
        <w:textAlignment w:val="auto"/>
        <w:outlineLvl w:val="1"/>
        <w:rPr>
          <w:rFonts w:hint="eastAsia" w:ascii="楷体" w:hAnsi="楷体" w:eastAsia="楷体" w:cs="楷体"/>
          <w:sz w:val="24"/>
          <w:szCs w:val="24"/>
        </w:rPr>
      </w:pPr>
      <w:bookmarkStart w:id="0" w:name="_Toc30041"/>
      <w:r>
        <w:rPr>
          <w:rFonts w:hint="eastAsia" w:ascii="楷体" w:hAnsi="楷体" w:eastAsia="楷体" w:cs="楷体"/>
          <w:b/>
          <w:sz w:val="36"/>
          <w:szCs w:val="36"/>
          <w:lang w:val="en-US" w:eastAsia="zh-CN"/>
        </w:rPr>
        <w:t>附录</w:t>
      </w:r>
      <w:r>
        <w:rPr>
          <w:rFonts w:hint="eastAsia" w:ascii="楷体" w:hAnsi="楷体" w:cs="楷体"/>
          <w:b/>
          <w:sz w:val="36"/>
          <w:szCs w:val="36"/>
          <w:lang w:val="en-US" w:eastAsia="zh-CN"/>
        </w:rPr>
        <w:t>二</w:t>
      </w:r>
      <w:r>
        <w:rPr>
          <w:rFonts w:hint="eastAsia" w:ascii="楷体" w:hAnsi="楷体" w:eastAsia="楷体" w:cs="楷体"/>
          <w:b/>
          <w:sz w:val="36"/>
          <w:szCs w:val="36"/>
          <w:lang w:val="en-US" w:eastAsia="zh-CN"/>
        </w:rPr>
        <w:t>：</w:t>
      </w:r>
      <w:r>
        <w:rPr>
          <w:rFonts w:hint="eastAsia" w:ascii="楷体" w:hAnsi="楷体" w:cs="楷体"/>
          <w:b/>
          <w:sz w:val="36"/>
          <w:szCs w:val="36"/>
          <w:lang w:val="en-US" w:eastAsia="zh-CN"/>
        </w:rPr>
        <w:t>数学建模</w:t>
      </w:r>
      <w:r>
        <w:rPr>
          <w:rFonts w:hint="eastAsia" w:ascii="楷体" w:hAnsi="楷体" w:cs="楷体"/>
          <w:b/>
          <w:sz w:val="36"/>
          <w:szCs w:val="36"/>
          <w:lang w:eastAsia="zh-CN"/>
        </w:rPr>
        <w:t>电工杯</w:t>
      </w:r>
      <w:r>
        <w:rPr>
          <w:rFonts w:hint="eastAsia" w:ascii="楷体" w:hAnsi="楷体" w:eastAsia="楷体" w:cs="楷体"/>
          <w:b/>
          <w:sz w:val="36"/>
          <w:szCs w:val="36"/>
        </w:rPr>
        <w:t>通用AI数学建模解题提示词</w:t>
      </w:r>
      <w:bookmarkEnd w:id="0"/>
    </w:p>
    <w:p w14:paraId="3AE6C28A">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楷体" w:hAnsi="楷体" w:eastAsia="楷体" w:cs="楷体"/>
          <w:sz w:val="24"/>
          <w:szCs w:val="24"/>
        </w:rPr>
      </w:pPr>
      <w:r>
        <w:rPr>
          <w:rFonts w:hint="eastAsia" w:ascii="楷体" w:hAnsi="楷体" w:eastAsia="楷体" w:cs="楷体"/>
          <w:b/>
          <w:bCs/>
          <w:sz w:val="24"/>
          <w:szCs w:val="24"/>
        </w:rPr>
        <w:t>核心特征：</w:t>
      </w:r>
      <w:r>
        <w:rPr>
          <w:rFonts w:hint="eastAsia" w:ascii="楷体" w:hAnsi="楷体" w:eastAsia="楷体" w:cs="楷体"/>
          <w:sz w:val="24"/>
          <w:szCs w:val="24"/>
        </w:rPr>
        <w:t>以“问题拆解-模型构建-求解验证-论文落地”为全流程框架，兼容物理机理、离散决策、大数据统计、运筹网络、环境可持续等各类</w:t>
      </w:r>
      <w:r>
        <w:rPr>
          <w:rFonts w:hint="eastAsia" w:ascii="楷体" w:hAnsi="楷体" w:cs="楷体"/>
          <w:sz w:val="24"/>
          <w:szCs w:val="24"/>
          <w:lang w:eastAsia="zh-CN"/>
        </w:rPr>
        <w:t>电工杯</w:t>
      </w:r>
      <w:r>
        <w:rPr>
          <w:rFonts w:hint="eastAsia" w:ascii="楷体" w:hAnsi="楷体" w:eastAsia="楷体" w:cs="楷体"/>
          <w:sz w:val="24"/>
          <w:szCs w:val="24"/>
        </w:rPr>
        <w:t>核心场景，严格保证逻辑自洽性、模型适配性、结果实用性，兼顾</w:t>
      </w:r>
      <w:r>
        <w:rPr>
          <w:rFonts w:hint="eastAsia" w:ascii="楷体" w:hAnsi="楷体" w:cs="楷体"/>
          <w:sz w:val="24"/>
          <w:szCs w:val="24"/>
          <w:lang w:eastAsia="zh-CN"/>
        </w:rPr>
        <w:t>电工杯</w:t>
      </w:r>
      <w:r>
        <w:rPr>
          <w:rFonts w:hint="eastAsia" w:ascii="楷体" w:hAnsi="楷体" w:eastAsia="楷体" w:cs="楷体"/>
          <w:sz w:val="24"/>
          <w:szCs w:val="24"/>
        </w:rPr>
        <w:t>评分核心（创新性、严谨性、论证充分性、方案可行性），实现“一题通用、全题型适配”。</w:t>
      </w:r>
    </w:p>
    <w:p w14:paraId="04EA49BC">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一、前置信息说明（全题型适配）</w:t>
      </w:r>
    </w:p>
    <w:p w14:paraId="29D800D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我是数学建模</w:t>
      </w:r>
      <w:r>
        <w:rPr>
          <w:rFonts w:hint="eastAsia" w:ascii="楷体" w:hAnsi="楷体" w:cs="楷体"/>
          <w:sz w:val="24"/>
          <w:szCs w:val="24"/>
          <w:lang w:eastAsia="zh-CN"/>
        </w:rPr>
        <w:t>电工杯</w:t>
      </w:r>
      <w:r>
        <w:rPr>
          <w:rFonts w:hint="eastAsia" w:ascii="楷体" w:hAnsi="楷体" w:eastAsia="楷体" w:cs="楷体"/>
          <w:sz w:val="24"/>
          <w:szCs w:val="24"/>
        </w:rPr>
        <w:t>参赛选手，需解决以下题目：【在此粘贴完整题目文本、附件说明（含数据/图表/规则/场景描述）、题目隐含背景】。</w:t>
      </w:r>
    </w:p>
    <w:p w14:paraId="6D4AABC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团队情况：□ 零编程基础 □ 有基础建模经验（可独立构建简单模型） □ 首次参赛 □ 多次参赛（目标冲击高奖）</w:t>
      </w:r>
    </w:p>
    <w:p w14:paraId="384565F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擅长编程语言/工具：（如 Python/Matlab/R，需注明核心库掌握情况：Python的SciPy/Pandas/NetworkX/PuLP；Matlab的ODE求解器/整数规划工具箱；R的ggplot2/caret等）</w:t>
      </w:r>
    </w:p>
    <w:p w14:paraId="3D1EF2E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需求重点（可多选，标注优先级）：□ 模型创新性（冲奖核心） □ 代码可执行性（含注释与可视化） □ 数据处理与图表生成 □ 论文写作素材（适配</w:t>
      </w:r>
      <w:r>
        <w:rPr>
          <w:rFonts w:hint="eastAsia" w:ascii="楷体" w:hAnsi="楷体" w:cs="楷体"/>
          <w:sz w:val="24"/>
          <w:szCs w:val="24"/>
          <w:lang w:eastAsia="zh-CN"/>
        </w:rPr>
        <w:t>电工杯</w:t>
      </w:r>
      <w:r>
        <w:rPr>
          <w:rFonts w:hint="eastAsia" w:ascii="楷体" w:hAnsi="楷体" w:eastAsia="楷体" w:cs="楷体"/>
          <w:sz w:val="24"/>
          <w:szCs w:val="24"/>
        </w:rPr>
        <w:t>论文结构） □ 模型检验与鲁棒性分析（必查评分点）</w:t>
      </w:r>
    </w:p>
    <w:p w14:paraId="4A61E5E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 xml:space="preserve">获奖目标：□ </w:t>
      </w:r>
      <w:r>
        <w:rPr>
          <w:rFonts w:hint="eastAsia" w:ascii="楷体" w:hAnsi="楷体" w:cs="楷体"/>
          <w:sz w:val="24"/>
          <w:szCs w:val="24"/>
          <w:lang w:eastAsia="zh-CN"/>
        </w:rPr>
        <w:t>一等奖</w:t>
      </w:r>
      <w:r>
        <w:rPr>
          <w:rFonts w:hint="eastAsia" w:ascii="楷体" w:hAnsi="楷体" w:eastAsia="楷体" w:cs="楷体"/>
          <w:sz w:val="24"/>
          <w:szCs w:val="24"/>
        </w:rPr>
        <w:t>（特等奖，强创新+逻辑闭环） □ 一等奖，严谨+适配 □ 二等奖，完整+无漏洞</w:t>
      </w:r>
    </w:p>
    <w:p w14:paraId="7F0683C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题目核心场景与类型：【精准标注，如：物理机理建模（A题）、离散决策优化（B题）、大数据统计分析（C题）、运筹网络优化（D题）、环境可持续发展（E题）、政策/社会科学建模（F题）】，明确核心目标（如物理规律量化、成本最小化、预测精度最大化、多目标平衡、可持续性提升）。</w:t>
      </w:r>
    </w:p>
    <w:p w14:paraId="1A9A38AA">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360" w:lineRule="auto"/>
        <w:ind w:left="425" w:leftChars="0" w:hanging="425" w:firstLineChars="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二、题目分析阶段（全题型通用逻辑）</w:t>
      </w:r>
    </w:p>
    <w:p w14:paraId="2A3386F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逐句解析题目：区分「背景信息」「核心问题」「已知条件（含数据/参数/规则）」「约束条件（含物理规律/场景规则/资源限制）」，用表格分列呈现；重点标注关键逻辑链（如物理过程-参数依赖、决策变量-约束对应、数据字段-分析目标关联），明确核心遵循的原理（物理定律/优化逻辑/统计规律/生态机理等）。</w:t>
      </w:r>
    </w:p>
    <w:p w14:paraId="3DD1F68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小问划分与目标拆解：列出各小问的「直接目标」「隐含目标」（如表面求数值结果，实际为后续建模铺垫）、「输出要求」（如数值结果/图表/公式/方案表），说明各小问的关联性（如基础模型→场景拓展→多目标优化）。</w:t>
      </w:r>
    </w:p>
    <w:p w14:paraId="17C2C96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逻辑关系梳理：用结构化思维导图（文字描述节点与关联）展示参数/变量/目标之间的依赖关系，标注传递路径（如输入参数→中间变量→目标变量、数据预处理→模型构建→结果验证）。</w:t>
      </w:r>
    </w:p>
    <w:p w14:paraId="7486078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题型定位：明确各小问属于「机理分析类」「预测建模类」「优化决策类」「统计分析类」「网络构建类」，结合题目场景说明判断依据，标注是否需要“机理/逻辑定框架+数据提精度”（多数</w:t>
      </w:r>
      <w:r>
        <w:rPr>
          <w:rFonts w:hint="eastAsia" w:ascii="楷体" w:hAnsi="楷体" w:cs="楷体"/>
          <w:sz w:val="24"/>
          <w:szCs w:val="24"/>
          <w:lang w:eastAsia="zh-CN"/>
        </w:rPr>
        <w:t>电工杯</w:t>
      </w:r>
      <w:r>
        <w:rPr>
          <w:rFonts w:hint="eastAsia" w:ascii="楷体" w:hAnsi="楷体" w:eastAsia="楷体" w:cs="楷体"/>
          <w:sz w:val="24"/>
          <w:szCs w:val="24"/>
        </w:rPr>
        <w:t>题目需二者结合）。</w:t>
      </w:r>
    </w:p>
    <w:p w14:paraId="3E6D9140">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三、模型选择阶段（基础+创新双方案，全题型适配）</w:t>
      </w:r>
    </w:p>
    <w:p w14:paraId="0F6A5B28">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楷体" w:hAnsi="楷体" w:eastAsia="楷体" w:cs="楷体"/>
          <w:sz w:val="24"/>
          <w:szCs w:val="24"/>
        </w:rPr>
      </w:pPr>
      <w:bookmarkStart w:id="1" w:name="_GoBack"/>
      <w:r>
        <w:rPr>
          <w:rFonts w:hint="eastAsia" w:ascii="楷体" w:hAnsi="楷体" w:eastAsia="楷体" w:cs="楷体"/>
          <w:sz w:val="24"/>
          <w:szCs w:val="24"/>
        </w:rPr>
        <w:t>针对每个小问，推荐2种模型方案（1种基础保分模型+1种创新冲奖模型），紧扣题目核心逻辑，禁止脱离场景的纯理论模型：</w:t>
      </w:r>
    </w:p>
    <w:p w14:paraId="3839DFB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方案1（基础适配，保分核心）：经典模型+</w:t>
      </w:r>
      <w:r>
        <w:rPr>
          <w:rFonts w:hint="eastAsia" w:ascii="楷体" w:hAnsi="楷体" w:cs="楷体"/>
          <w:sz w:val="24"/>
          <w:szCs w:val="24"/>
          <w:lang w:eastAsia="zh-CN"/>
        </w:rPr>
        <w:t>电工杯</w:t>
      </w:r>
      <w:r>
        <w:rPr>
          <w:rFonts w:hint="eastAsia" w:ascii="楷体" w:hAnsi="楷体" w:eastAsia="楷体" w:cs="楷体"/>
          <w:sz w:val="24"/>
          <w:szCs w:val="24"/>
        </w:rPr>
        <w:t>适配改进点（如「物理机理类：ODE+参数校准；决策优化类：整数规划+约束优先级调整；统计分析类：线性回归+特征筛选；网络类：最短路径+动态权重修正；环境类：高斯扩散+场景修正」），确保模型可解释、无逻辑漏洞</w:t>
      </w:r>
      <w:r>
        <w:rPr>
          <w:rFonts w:hint="eastAsia" w:ascii="楷体" w:hAnsi="楷体" w:cs="楷体"/>
          <w:sz w:val="24"/>
          <w:szCs w:val="24"/>
          <w:lang w:eastAsia="zh-CN"/>
        </w:rPr>
        <w:t>、</w:t>
      </w:r>
      <w:r>
        <w:rPr>
          <w:rFonts w:hint="eastAsia" w:ascii="楷体" w:hAnsi="楷体" w:cs="楷体"/>
          <w:sz w:val="24"/>
          <w:szCs w:val="24"/>
          <w:lang w:val="en-US" w:eastAsia="zh-CN"/>
        </w:rPr>
        <w:t>模型为常规数学建模算法、整体难度系数相对较低</w:t>
      </w:r>
      <w:r>
        <w:rPr>
          <w:rFonts w:hint="eastAsia" w:ascii="楷体" w:hAnsi="楷体" w:eastAsia="楷体" w:cs="楷体"/>
          <w:sz w:val="24"/>
          <w:szCs w:val="24"/>
        </w:rPr>
        <w:t>。</w:t>
      </w:r>
    </w:p>
    <w:p w14:paraId="53BB5A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楷体" w:hAnsi="楷体" w:eastAsia="楷体" w:cs="楷体"/>
          <w:sz w:val="24"/>
          <w:szCs w:val="24"/>
        </w:rPr>
      </w:pPr>
    </w:p>
    <w:p w14:paraId="20A03B5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方案2（创新融合，冲奖关键）：</w:t>
      </w:r>
      <w:r>
        <w:rPr>
          <w:rFonts w:hint="eastAsia" w:ascii="楷体" w:hAnsi="楷体" w:eastAsia="楷体" w:cs="楷体"/>
          <w:sz w:val="24"/>
          <w:szCs w:val="24"/>
          <w:lang w:val="en-US" w:eastAsia="zh-CN"/>
        </w:rPr>
        <w:t>针对各小问可分别构建合适的创新型算法！</w:t>
      </w:r>
      <w:r>
        <w:rPr>
          <w:rFonts w:hint="eastAsia" w:ascii="楷体" w:hAnsi="楷体" w:eastAsia="楷体" w:cs="楷体"/>
          <w:sz w:val="24"/>
          <w:szCs w:val="24"/>
        </w:rPr>
        <w:t>创新方向主要分为三类：一是算法改进创新，即对经典算法进行改良优化以适配赛题场景，例如改进的 BP 神经网络算法</w:t>
      </w:r>
      <w:r>
        <w:rPr>
          <w:rFonts w:hint="eastAsia" w:ascii="楷体" w:hAnsi="楷体" w:eastAsia="楷体" w:cs="楷体"/>
          <w:sz w:val="24"/>
          <w:szCs w:val="24"/>
          <w:lang w:eastAsia="zh-CN"/>
        </w:rPr>
        <w:t>、</w:t>
      </w:r>
      <w:r>
        <w:rPr>
          <w:rFonts w:hint="eastAsia" w:ascii="楷体" w:hAnsi="楷体" w:eastAsia="楷体" w:cs="楷体"/>
          <w:sz w:val="24"/>
          <w:szCs w:val="24"/>
        </w:rPr>
        <w:t>改进支持向量机（SVM）</w:t>
      </w:r>
      <w:r>
        <w:rPr>
          <w:rFonts w:hint="eastAsia" w:ascii="楷体" w:hAnsi="楷体" w:eastAsia="楷体" w:cs="楷体"/>
          <w:sz w:val="24"/>
          <w:szCs w:val="24"/>
          <w:lang w:val="en-US" w:eastAsia="zh-CN"/>
        </w:rPr>
        <w:t>等</w:t>
      </w:r>
      <w:r>
        <w:rPr>
          <w:rFonts w:hint="eastAsia" w:ascii="楷体" w:hAnsi="楷体" w:eastAsia="楷体" w:cs="楷体"/>
          <w:sz w:val="24"/>
          <w:szCs w:val="24"/>
        </w:rPr>
        <w:t>；二是交叉领域创新，即将其他学科的经典模型迁移应用到新的问题中，例如借用 SIR 传染病模型来模拟舆论传播规律</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将</w:t>
      </w:r>
      <w:r>
        <w:rPr>
          <w:rFonts w:hint="eastAsia" w:ascii="楷体" w:hAnsi="楷体" w:eastAsia="楷体" w:cs="楷体"/>
          <w:sz w:val="24"/>
          <w:szCs w:val="24"/>
        </w:rPr>
        <w:t>热传导模型</w:t>
      </w:r>
      <w:r>
        <w:rPr>
          <w:rFonts w:hint="eastAsia" w:ascii="楷体" w:hAnsi="楷体" w:eastAsia="楷体" w:cs="楷体"/>
          <w:sz w:val="24"/>
          <w:szCs w:val="24"/>
          <w:lang w:val="en-US" w:eastAsia="zh-CN"/>
        </w:rPr>
        <w:t>应用在</w:t>
      </w:r>
      <w:r>
        <w:rPr>
          <w:rFonts w:hint="eastAsia" w:ascii="楷体" w:hAnsi="楷体" w:eastAsia="楷体" w:cs="楷体"/>
          <w:sz w:val="24"/>
          <w:szCs w:val="24"/>
        </w:rPr>
        <w:t>信息传播</w:t>
      </w:r>
      <w:r>
        <w:rPr>
          <w:rFonts w:hint="eastAsia" w:ascii="楷体" w:hAnsi="楷体" w:eastAsia="楷体" w:cs="楷体"/>
          <w:sz w:val="24"/>
          <w:szCs w:val="24"/>
          <w:lang w:val="en-US" w:eastAsia="zh-CN"/>
        </w:rPr>
        <w:t>和</w:t>
      </w:r>
      <w:r>
        <w:rPr>
          <w:rFonts w:hint="eastAsia" w:ascii="楷体" w:hAnsi="楷体" w:eastAsia="楷体" w:cs="楷体"/>
          <w:sz w:val="24"/>
          <w:szCs w:val="24"/>
        </w:rPr>
        <w:t xml:space="preserve"> 技术扩散</w:t>
      </w:r>
      <w:r>
        <w:rPr>
          <w:rFonts w:hint="eastAsia" w:ascii="楷体" w:hAnsi="楷体" w:eastAsia="楷体" w:cs="楷体"/>
          <w:sz w:val="24"/>
          <w:szCs w:val="24"/>
          <w:lang w:val="en-US" w:eastAsia="zh-CN"/>
        </w:rPr>
        <w:t>等；</w:t>
      </w:r>
      <w:r>
        <w:rPr>
          <w:rFonts w:hint="eastAsia" w:ascii="楷体" w:hAnsi="楷体" w:eastAsia="楷体" w:cs="楷体"/>
          <w:sz w:val="24"/>
          <w:szCs w:val="24"/>
        </w:rPr>
        <w:t>三是算法组合创新，即融合多种算法的优势构建混合模型，例如灰色 - BP 神经网络模型，以此提升模型的拟合精度与泛化能力</w:t>
      </w:r>
      <w:r>
        <w:rPr>
          <w:rFonts w:hint="eastAsia" w:ascii="楷体" w:hAnsi="楷体" w:eastAsia="楷体" w:cs="楷体"/>
          <w:sz w:val="24"/>
          <w:szCs w:val="24"/>
          <w:lang w:val="en-US" w:eastAsia="zh-CN"/>
        </w:rPr>
        <w:t>等！</w:t>
      </w:r>
    </w:p>
    <w:p w14:paraId="132BE22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每种模型详细说明（适配论文论述）：</w:t>
      </w:r>
    </w:p>
    <w:p w14:paraId="0EF33FB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核心原理：1段通俗语言描述，结合题目场景对应的核心逻辑（物理规律/优化逻辑/统计原理/生态机理），明确模型与场景的适配关系。</w:t>
      </w:r>
    </w:p>
    <w:p w14:paraId="26C211B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适配性：为何适合本题，如何匹配数据/参数/约束特征，是否覆盖单一与复杂场景需求。</w:t>
      </w:r>
    </w:p>
    <w:p w14:paraId="0457A5B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创新点：与传统模型的差异，对解题的实际价值（如动态参数引入、多方法互补、场景化修正），非形式化创新。</w:t>
      </w:r>
    </w:p>
    <w:p w14:paraId="451B651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局限性与规避方案：可能的误差来源（简化假设、数据不足），结合题目特点给出修正方案（敏感性分析、数据校准、约束松弛）。</w:t>
      </w:r>
    </w:p>
    <w:p w14:paraId="5BD9965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可视化流程：用文字描述流程图，包含「场景抽象→变量定义→模型构建→数据适配→求解迭代→结果验证」的决策点（如「数据是否满足假设→是：直接建模；否：引入修正项」），标注每个步骤的输出物（公式/参数/图表）。</w:t>
      </w:r>
    </w:p>
    <w:p w14:paraId="728CBDF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cs="楷体"/>
          <w:sz w:val="24"/>
          <w:szCs w:val="24"/>
          <w:lang w:val="en-US" w:eastAsia="zh-CN"/>
        </w:rPr>
        <w:t>最后帮我输出一个表格，表格内容为：问题X，问题描述、主要解题思路、方案一模型及原因、方案二推荐模型及原因</w:t>
      </w:r>
    </w:p>
    <w:bookmarkEnd w:id="1"/>
    <w:p w14:paraId="2505CA8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四、数据处理阶段（全题型数据适配）</w:t>
      </w:r>
    </w:p>
    <w:p w14:paraId="5CD28D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若题目提供数据可进行该步骤，若未提供数据请在全网自主寻找合适数据并对数据进行预处理操作等，但需要注明数据来源！</w:t>
      </w:r>
    </w:p>
    <w:p w14:paraId="7109945F">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题目数据说明：【列出数据（含单位/维度/类型）或标注附件，明确数据类型：如物理参数数据、时序数据、离散决策数据、网络节点数据、环境监测数据、结构化/半结构化数据】。</w:t>
      </w:r>
    </w:p>
    <w:p w14:paraId="5C9AAF44">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预处理方案（结合数据特性，避免脱离场景）：</w:t>
      </w:r>
    </w:p>
    <w:p w14:paraId="4891441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缺失值处理：根据数据类型选择方法（均值/中位数/众数填充、线性/多项式插值、KNN填充），说明依据（如时序数据用线性插值、物理参数用均值填充），给出处理后数据（标注单位）。</w:t>
      </w:r>
    </w:p>
    <w:p w14:paraId="0FC154A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异常值处理：用Z-score法/IQR法/箱线图检测，结合场景逻辑说明保留/修正/删除的理由（如违背物理守恒/生态阈值的异常值删除），附处理结果描述。</w:t>
      </w:r>
    </w:p>
    <w:p w14:paraId="2B04D97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转换与特征处理：说明标准化/归一化/编码（One-Hot/Label Encoding）的必要性，给出转换公式；若为图像/网络/空间数据，说明特征提取方法（边缘检测、节点-边构建、空间插值），确保特征贴合场景意义。</w:t>
      </w:r>
    </w:p>
    <w:p w14:paraId="42ABB52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数据补充：区分「必须补充」（核心参数/标准常数/行业规范）和「可选补充」（辅助数据），推荐</w:t>
      </w:r>
      <w:r>
        <w:rPr>
          <w:rFonts w:hint="eastAsia" w:ascii="楷体" w:hAnsi="楷体" w:cs="楷体"/>
          <w:sz w:val="24"/>
          <w:szCs w:val="24"/>
          <w:lang w:eastAsia="zh-CN"/>
        </w:rPr>
        <w:t>电工杯</w:t>
      </w:r>
      <w:r>
        <w:rPr>
          <w:rFonts w:hint="eastAsia" w:ascii="楷体" w:hAnsi="楷体" w:eastAsia="楷体" w:cs="楷体"/>
          <w:sz w:val="24"/>
          <w:szCs w:val="24"/>
        </w:rPr>
        <w:t>可落地获取途径（公开数据集Kaggle/UCI、行业报告、权威机构数据EPA/UNEP）；无法获取时，基于场景逻辑合理假设补充（详细标注依据）。</w:t>
      </w:r>
    </w:p>
    <w:p w14:paraId="1BAE2BA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cs="楷体"/>
          <w:sz w:val="24"/>
          <w:szCs w:val="24"/>
          <w:lang w:val="en-US" w:eastAsia="zh-CN"/>
        </w:rPr>
        <w:t>生成属于预处理完整的源代码：</w:t>
      </w:r>
      <w:r>
        <w:rPr>
          <w:rFonts w:hint="eastAsia" w:ascii="楷体" w:hAnsi="楷体" w:eastAsia="楷体" w:cs="楷体"/>
          <w:sz w:val="24"/>
          <w:szCs w:val="24"/>
        </w:rPr>
        <w:t>代码中必须包含清晰的本地数据上传路径提示和清晰的处理完成的数据输出路径提示，使用醒目标注（如注释、变量名）指引学生替换为自己的本地数据路径；代码包含详细注释，标注每个步骤的目的、方法和参数含义；代码中最好包括数据可视化模块，包括数据预处理前的可视化分析和数据预处理后的可视化分析等，可视化分析要看是否有必须做，如有必要则在代码中包括，可视化分析图片质量要求比较高，美观性较强！</w:t>
      </w:r>
    </w:p>
    <w:p w14:paraId="1CC910E2">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将预处理完数据保存为通用格式（CSV优先，Matlab支持.mat格式）；同时提供多维度的预处理后的数据获取方式：</w:t>
      </w:r>
    </w:p>
    <w:p w14:paraId="11496F8F">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直接展示处理后数据的前10行和后5行；</w:t>
      </w:r>
    </w:p>
    <w:p w14:paraId="37530B20">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提供多种虚拟下载链接（注明文件名称、大小、格式）；</w:t>
      </w:r>
    </w:p>
    <w:p w14:paraId="5121ABFD">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说明Python/Matlab代码保存处理后数据到本地的方法和路径设置；</w:t>
      </w:r>
    </w:p>
    <w:p w14:paraId="5BC70690">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提示学生如何验证处理后数据的完整性。</w:t>
      </w:r>
    </w:p>
    <w:p w14:paraId="166B661E">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900" w:leftChars="200" w:hanging="42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总结整个数据预处理过程，形成数据预处理结论</w:t>
      </w:r>
    </w:p>
    <w:p w14:paraId="7A8B5AA2">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五、模型建立阶段（逻辑-公式衔接）</w:t>
      </w:r>
    </w:p>
    <w:p w14:paraId="394DB94B">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楷体" w:hAnsi="楷体" w:cs="楷体"/>
          <w:b/>
          <w:bCs/>
          <w:color w:val="0000FF"/>
          <w:sz w:val="24"/>
          <w:szCs w:val="24"/>
          <w:lang w:val="en-US" w:eastAsia="zh-CN"/>
        </w:rPr>
      </w:pPr>
      <w:r>
        <w:rPr>
          <w:rFonts w:hint="eastAsia" w:ascii="楷体" w:hAnsi="楷体" w:cs="楷体"/>
          <w:b/>
          <w:bCs/>
          <w:color w:val="0000FF"/>
          <w:sz w:val="24"/>
          <w:szCs w:val="24"/>
          <w:lang w:val="en-US" w:eastAsia="zh-CN"/>
        </w:rPr>
        <w:t>结合前面针对每个小问推荐的两种方案，最终选择每小问【方案X】；</w:t>
      </w:r>
    </w:p>
    <w:p w14:paraId="79BCC9F2">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default" w:ascii="楷体" w:hAnsi="楷体" w:eastAsia="楷体" w:cs="楷体"/>
          <w:sz w:val="24"/>
          <w:szCs w:val="24"/>
          <w:lang w:val="en-US" w:eastAsia="zh-CN"/>
        </w:rPr>
      </w:pPr>
      <w:r>
        <w:rPr>
          <w:rFonts w:hint="eastAsia" w:ascii="楷体" w:hAnsi="楷体" w:eastAsia="楷体" w:cs="楷体"/>
          <w:sz w:val="24"/>
          <w:szCs w:val="24"/>
        </w:rPr>
        <w:t>结合模型与处理后的数据，</w:t>
      </w:r>
      <w:r>
        <w:rPr>
          <w:rFonts w:hint="eastAsia" w:ascii="楷体" w:hAnsi="楷体" w:cs="楷体"/>
          <w:sz w:val="24"/>
          <w:szCs w:val="24"/>
          <w:lang w:val="en-US" w:eastAsia="zh-CN"/>
        </w:rPr>
        <w:t>参考以下流程，</w:t>
      </w:r>
      <w:r>
        <w:rPr>
          <w:rFonts w:hint="eastAsia" w:ascii="楷体" w:hAnsi="楷体" w:eastAsia="楷体" w:cs="楷体"/>
          <w:sz w:val="24"/>
          <w:szCs w:val="24"/>
        </w:rPr>
        <w:t>详细说明</w:t>
      </w:r>
      <w:r>
        <w:rPr>
          <w:rFonts w:hint="eastAsia" w:ascii="楷体" w:hAnsi="楷体" w:cs="楷体"/>
          <w:sz w:val="24"/>
          <w:szCs w:val="24"/>
          <w:lang w:val="en-US" w:eastAsia="zh-CN"/>
        </w:rPr>
        <w:t>每小问</w:t>
      </w:r>
      <w:r>
        <w:rPr>
          <w:rFonts w:hint="eastAsia" w:ascii="楷体" w:hAnsi="楷体" w:eastAsia="楷体" w:cs="楷体"/>
          <w:sz w:val="24"/>
          <w:szCs w:val="24"/>
        </w:rPr>
        <w:t>完整</w:t>
      </w:r>
      <w:r>
        <w:rPr>
          <w:rFonts w:hint="eastAsia" w:ascii="楷体" w:hAnsi="楷体" w:cs="楷体"/>
          <w:sz w:val="24"/>
          <w:szCs w:val="24"/>
          <w:lang w:val="en-US" w:eastAsia="zh-CN"/>
        </w:rPr>
        <w:t>的</w:t>
      </w:r>
      <w:r>
        <w:rPr>
          <w:rFonts w:hint="eastAsia" w:ascii="楷体" w:hAnsi="楷体" w:eastAsia="楷体" w:cs="楷体"/>
          <w:sz w:val="24"/>
          <w:szCs w:val="24"/>
        </w:rPr>
        <w:t>建模步骤，突出场景逻辑与数学公式的强关联</w:t>
      </w:r>
      <w:r>
        <w:rPr>
          <w:rFonts w:hint="eastAsia" w:ascii="楷体" w:hAnsi="楷体" w:cs="楷体"/>
          <w:sz w:val="24"/>
          <w:szCs w:val="24"/>
          <w:lang w:eastAsia="zh-CN"/>
        </w:rPr>
        <w:t>，</w:t>
      </w:r>
      <w:r>
        <w:rPr>
          <w:rFonts w:hint="eastAsia" w:ascii="楷体" w:hAnsi="楷体" w:cs="楷体"/>
          <w:sz w:val="24"/>
          <w:szCs w:val="24"/>
          <w:lang w:val="en-US" w:eastAsia="zh-CN"/>
        </w:rPr>
        <w:t>分别按照每小问顺序详细阐述！</w:t>
      </w:r>
    </w:p>
    <w:p w14:paraId="3A11BBD4">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变量定义：用表格明确「决策变量/中间变量/目标变量/参数」，标注类型（连续/离散/0-1）、单位、约束范围，说明对应的场景意义（如「c(x,y,t)：污染物浓度，mg/m³，约束≤生态阈值」），区分“已知参数/校准参数/假设参数”。</w:t>
      </w:r>
    </w:p>
    <w:p w14:paraId="6B2F6759">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假设条件：3-5个核心假设，每个假设含“内容+依据+对模型的影响”（如「假设短期内气象稳定，依据：题目聚焦核心机理，影响：简化计算，通过鲁棒性分析覆盖波动」），避免无依据假设。</w:t>
      </w:r>
    </w:p>
    <w:p w14:paraId="105DF3B7">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公式推导：分步骤推导核心公式（目标函数/约束方程/机理方程），每步标注逻辑依据（物理规律/优化目标/统计原理），公式标注规范（符号/下标统一）。</w:t>
      </w:r>
    </w:p>
    <w:p w14:paraId="1EBF2413">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建模流程图：用文字描述「场景抽象→变量定义→公式推导→约束设定→目标确立→参数校准」的逻辑链，标注关键节点（如「验证公式与核心逻辑一致性」），便于转化为论文图表。</w:t>
      </w:r>
    </w:p>
    <w:p w14:paraId="5F684E4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六、模型求解阶段（代码落地+可视化）</w:t>
      </w:r>
    </w:p>
    <w:p w14:paraId="79A4A37E">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源代码编写：适配团队编程基础，优先选择易调试、可复现的方法，按编程语言规范编写。</w:t>
      </w:r>
    </w:p>
    <w:p w14:paraId="40123AE4">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求解步骤：按「数据输入→参数初始化（标注意义/范围/校准方法）→模型调用→结果输出」说明，标注注意事项（如参数约束范围、求解器参数设置、步长选择）。</w:t>
      </w:r>
    </w:p>
    <w:p w14:paraId="16377ABA">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代码实现：</w:t>
      </w:r>
    </w:p>
    <w:p w14:paraId="2249B4C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零编程基础：提供可直接运行的完整代码（标注依赖库及安装命令），含详细注释（每段对应场景逻辑）、异常处理、可视化模块，关键行说明“为何这么写”及场景意义。</w:t>
      </w:r>
    </w:p>
    <w:p w14:paraId="3D39176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有编程基础：代码含异常处理（参数越界提示、数据读取失败兼容）、参数校准模块，注释聚焦核心逻辑与建模思路。</w:t>
      </w:r>
    </w:p>
    <w:p w14:paraId="4C696A3C">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可视化分析（适配论文图表要求）：根据场景选择图表（折线图/柱状图/拟合图/网络拓扑图/空间分布图/热力图），图表含规范标题、坐标轴标签（带单位）、图例、误差线，图下标注关键结论（如「使用频率增加10%，磨损深度增加0.2mm，符合物理规律」），满足</w:t>
      </w:r>
      <w:r>
        <w:rPr>
          <w:rFonts w:hint="eastAsia" w:ascii="楷体" w:hAnsi="楷体" w:cs="楷体"/>
          <w:sz w:val="24"/>
          <w:szCs w:val="24"/>
          <w:lang w:eastAsia="zh-CN"/>
        </w:rPr>
        <w:t>电工杯</w:t>
      </w:r>
      <w:r>
        <w:rPr>
          <w:rFonts w:hint="eastAsia" w:ascii="楷体" w:hAnsi="楷体" w:eastAsia="楷体" w:cs="楷体"/>
          <w:sz w:val="24"/>
          <w:szCs w:val="24"/>
        </w:rPr>
        <w:t>图表评分标准。</w:t>
      </w:r>
    </w:p>
    <w:p w14:paraId="68E51BCA">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按照上述建模步骤步骤，结合已上传的真实数据集运行代码得到相关结果，结果需要与题目要求高度对应，能够完成题目要求，并对各小问代码运行结果结合题目要求进行初步的解读和总结。</w:t>
      </w:r>
    </w:p>
    <w:p w14:paraId="1C01FB07">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七、结果分析阶段（场景意义+论文论证）</w:t>
      </w:r>
    </w:p>
    <w:p w14:paraId="1FD19B77">
      <w:pPr>
        <w:keepNext w:val="0"/>
        <w:keepLines w:val="0"/>
        <w:pageBreakBefore w:val="0"/>
        <w:widowControl w:val="0"/>
        <w:kinsoku/>
        <w:wordWrap/>
        <w:overflowPunct/>
        <w:topLinePunct w:val="0"/>
        <w:autoSpaceDE/>
        <w:autoSpaceDN/>
        <w:bidi w:val="0"/>
        <w:adjustRightInd/>
        <w:snapToGrid/>
        <w:spacing w:line="360" w:lineRule="auto"/>
        <w:ind w:left="0"/>
        <w:jc w:val="both"/>
        <w:textAlignment w:val="auto"/>
        <w:rPr>
          <w:rFonts w:hint="eastAsia" w:ascii="楷体" w:hAnsi="楷体" w:eastAsia="楷体" w:cs="楷体"/>
          <w:sz w:val="24"/>
          <w:szCs w:val="24"/>
        </w:rPr>
      </w:pPr>
      <w:r>
        <w:rPr>
          <w:rFonts w:hint="eastAsia" w:ascii="楷体" w:hAnsi="楷体" w:eastAsia="楷体" w:cs="楷体"/>
          <w:sz w:val="24"/>
          <w:szCs w:val="24"/>
        </w:rPr>
        <w:t>针对求解结果，给出「基础分析」和「深层分析」，避免纯数值解读：</w:t>
      </w:r>
    </w:p>
    <w:p w14:paraId="045DB127">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基础分析：</w:t>
      </w:r>
    </w:p>
    <w:p w14:paraId="5D08751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数值解读：说明结果的场景意义、实际价值（如「最优方案成本降低15%，满足所有约束」），而非罗列数值。</w:t>
      </w:r>
    </w:p>
    <w:p w14:paraId="50FFBC6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统计/指标描述：计算均值/方差/拟合优度（R²）/MSE/AUC/约束满足度等，说明结果分布与场景的匹配性。</w:t>
      </w:r>
    </w:p>
    <w:p w14:paraId="7DF0EEF5">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深层分析（冲奖核心）：</w:t>
      </w:r>
    </w:p>
    <w:p w14:paraId="5F3AEF5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关联性：结果与场景约束、核心逻辑的匹配度（如「满足物理守恒/生态阈值/决策目标，无逻辑矛盾」），验证模型合理性。</w:t>
      </w:r>
    </w:p>
    <w:p w14:paraId="52CD734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敏感性/特征重要性分析（必做）：分析2-3个核心参数/特征对结果的影响（如「运输成本增加10%，最优路径调整」），附图表与结论。</w:t>
      </w:r>
    </w:p>
    <w:p w14:paraId="29A83FE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实际意义与延伸：结合题目背景提炼结论，关联实际应用场景（如「为资源调度/污染防控/政策制定提供数据支撑」），提升论文深度。</w:t>
      </w:r>
    </w:p>
    <w:p w14:paraId="6A4E8656">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left="0"/>
        <w:jc w:val="both"/>
        <w:textAlignment w:val="auto"/>
        <w:outlineLvl w:val="9"/>
        <w:rPr>
          <w:rFonts w:hint="eastAsia" w:ascii="楷体" w:hAnsi="楷体" w:eastAsia="楷体" w:cs="楷体"/>
          <w:b/>
          <w:sz w:val="32"/>
          <w:szCs w:val="32"/>
        </w:rPr>
      </w:pPr>
      <w:r>
        <w:rPr>
          <w:rFonts w:hint="eastAsia" w:ascii="楷体" w:hAnsi="楷体" w:eastAsia="楷体" w:cs="楷体"/>
          <w:b/>
          <w:sz w:val="32"/>
          <w:szCs w:val="32"/>
        </w:rPr>
        <w:t>八、模型检验与改进阶段（强化评分点）</w:t>
      </w:r>
    </w:p>
    <w:p w14:paraId="3B4F7773">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有效性检验：</w:t>
      </w:r>
    </w:p>
    <w:p w14:paraId="3FACBD5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方法：选择适配模型的检验指标（拟合优度/约束满足度/模拟精度/多场景适配性），结合交叉验证/实地数据验证，避免单一指标。</w:t>
      </w:r>
    </w:p>
    <w:p w14:paraId="5B72258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代码与结果：提供检验代码（如5折交叉验证、残差分析、多场景代入），输出结果解读（如「平均MSE=0.02，约束满足度100%，模型有效」）。</w:t>
      </w:r>
    </w:p>
    <w:p w14:paraId="48A63F06">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改进方向（体现思维完整性）：</w:t>
      </w:r>
    </w:p>
    <w:p w14:paraId="6979718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模型短板：具体改进点（引入动态因子、优化算法、增加模块），而非泛泛而谈。</w:t>
      </w:r>
    </w:p>
    <w:p w14:paraId="75D5360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假设不合理：修正方案（放松假设、引入波动因子、数据校准）。</w:t>
      </w:r>
    </w:p>
    <w:p w14:paraId="140FAA2F">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鲁棒性分析（必做）：改变核心参数（波动±10%）、添加数据噪声、模拟极端场景，观察结果变化幅度，说明模型抗干扰能力，结合场景说明实际意义（如「参数波动10%，结果偏差≤5%，适配实际误差」），附图表。</w:t>
      </w:r>
    </w:p>
    <w:p w14:paraId="44C8A36B">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ascii="楷体" w:hAnsi="楷体" w:eastAsia="楷体" w:cs="楷体"/>
          <w:sz w:val="24"/>
          <w:szCs w:val="24"/>
        </w:rPr>
      </w:pPr>
      <w:r>
        <w:rPr>
          <w:rFonts w:hint="eastAsia" w:ascii="楷体" w:hAnsi="楷体" w:eastAsia="楷体" w:cs="楷体"/>
          <w:sz w:val="24"/>
          <w:szCs w:val="24"/>
        </w:rPr>
        <w:t>优缺点评价：补充模型优缺点评价，系统客观评价模型优劣：</w:t>
      </w:r>
    </w:p>
    <w:p w14:paraId="1EBAE8C0">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模型优点（3-5条）：从创新、适配、可靠性维度，结合AI求解数据阐述（如“融合Bayesian反演与PSO算法，参数校准精度提升25%；适配零值膨胀数据，预测覆盖度达88.6%，优于传统机器学习模型”）每条均有数据支撑。</w:t>
      </w:r>
    </w:p>
    <w:p w14:paraId="10EDEE92">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楷体" w:hAnsi="楷体" w:eastAsia="楷体" w:cs="楷体"/>
          <w:sz w:val="24"/>
          <w:szCs w:val="24"/>
        </w:rPr>
      </w:pPr>
      <w:r>
        <w:rPr>
          <w:rFonts w:hint="eastAsia" w:ascii="楷体" w:hAnsi="楷体" w:eastAsia="楷体" w:cs="楷体"/>
          <w:sz w:val="24"/>
          <w:szCs w:val="24"/>
        </w:rPr>
        <w:t>模型缺点（2-3条）：客观说明局限（如“未覆盖极端场景下的材质老化影响；部分参数依赖经验值，样本量不足时精度略有下降”），不泛泛而谈。</w:t>
      </w:r>
    </w:p>
    <w:p w14:paraId="08C2B67D"/>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9137F">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28D776"/>
    <w:multiLevelType w:val="singleLevel"/>
    <w:tmpl w:val="DA28D776"/>
    <w:lvl w:ilvl="0" w:tentative="0">
      <w:start w:val="1"/>
      <w:numFmt w:val="decimal"/>
      <w:lvlText w:val="(%1)"/>
      <w:lvlJc w:val="left"/>
      <w:pPr>
        <w:ind w:left="425" w:hanging="425"/>
      </w:pPr>
      <w:rPr>
        <w:rFonts w:hint="default"/>
      </w:rPr>
    </w:lvl>
  </w:abstractNum>
  <w:abstractNum w:abstractNumId="1">
    <w:nsid w:val="E7E02764"/>
    <w:multiLevelType w:val="singleLevel"/>
    <w:tmpl w:val="E7E02764"/>
    <w:lvl w:ilvl="0" w:tentative="0">
      <w:start w:val="1"/>
      <w:numFmt w:val="bullet"/>
      <w:lvlText w:val=""/>
      <w:lvlJc w:val="left"/>
      <w:pPr>
        <w:ind w:left="420" w:hanging="420"/>
      </w:pPr>
      <w:rPr>
        <w:rFonts w:hint="default" w:ascii="Wingdings" w:hAnsi="Wingdings"/>
      </w:rPr>
    </w:lvl>
  </w:abstractNum>
  <w:abstractNum w:abstractNumId="2">
    <w:nsid w:val="FF5B1C4E"/>
    <w:multiLevelType w:val="singleLevel"/>
    <w:tmpl w:val="FF5B1C4E"/>
    <w:lvl w:ilvl="0" w:tentative="0">
      <w:start w:val="1"/>
      <w:numFmt w:val="decimal"/>
      <w:lvlText w:val="(%1)"/>
      <w:lvlJc w:val="left"/>
      <w:pPr>
        <w:ind w:left="425" w:hanging="425"/>
      </w:pPr>
      <w:rPr>
        <w:rFonts w:hint="default"/>
      </w:rPr>
    </w:lvl>
  </w:abstractNum>
  <w:abstractNum w:abstractNumId="3">
    <w:nsid w:val="01FD6EB0"/>
    <w:multiLevelType w:val="singleLevel"/>
    <w:tmpl w:val="01FD6EB0"/>
    <w:lvl w:ilvl="0" w:tentative="0">
      <w:start w:val="1"/>
      <w:numFmt w:val="decimal"/>
      <w:lvlText w:val="(%1)"/>
      <w:lvlJc w:val="left"/>
      <w:pPr>
        <w:tabs>
          <w:tab w:val="left" w:pos="420"/>
        </w:tabs>
        <w:ind w:left="425" w:leftChars="0" w:hanging="425" w:firstLineChars="0"/>
      </w:pPr>
      <w:rPr>
        <w:rFonts w:hint="default"/>
      </w:rPr>
    </w:lvl>
  </w:abstractNum>
  <w:abstractNum w:abstractNumId="4">
    <w:nsid w:val="0D692429"/>
    <w:multiLevelType w:val="singleLevel"/>
    <w:tmpl w:val="0D692429"/>
    <w:lvl w:ilvl="0" w:tentative="0">
      <w:start w:val="1"/>
      <w:numFmt w:val="bullet"/>
      <w:lvlText w:val=""/>
      <w:lvlJc w:val="left"/>
      <w:pPr>
        <w:ind w:left="420" w:hanging="420"/>
      </w:pPr>
      <w:rPr>
        <w:rFonts w:hint="default" w:ascii="Wingdings" w:hAnsi="Wingdings"/>
      </w:rPr>
    </w:lvl>
  </w:abstractNum>
  <w:abstractNum w:abstractNumId="5">
    <w:nsid w:val="32DFE4C2"/>
    <w:multiLevelType w:val="singleLevel"/>
    <w:tmpl w:val="32DFE4C2"/>
    <w:lvl w:ilvl="0" w:tentative="0">
      <w:start w:val="1"/>
      <w:numFmt w:val="decimal"/>
      <w:lvlText w:val="(%1)"/>
      <w:lvlJc w:val="left"/>
      <w:pPr>
        <w:ind w:left="425" w:hanging="425"/>
      </w:pPr>
      <w:rPr>
        <w:rFonts w:hint="default"/>
      </w:rPr>
    </w:lvl>
  </w:abstractNum>
  <w:abstractNum w:abstractNumId="6">
    <w:nsid w:val="3BD87A4C"/>
    <w:multiLevelType w:val="singleLevel"/>
    <w:tmpl w:val="3BD87A4C"/>
    <w:lvl w:ilvl="0" w:tentative="0">
      <w:start w:val="1"/>
      <w:numFmt w:val="bullet"/>
      <w:lvlText w:val=""/>
      <w:lvlJc w:val="left"/>
      <w:pPr>
        <w:ind w:left="420" w:hanging="420"/>
      </w:pPr>
      <w:rPr>
        <w:rFonts w:hint="default" w:ascii="Wingdings" w:hAnsi="Wingdings"/>
      </w:rPr>
    </w:lvl>
  </w:abstractNum>
  <w:abstractNum w:abstractNumId="7">
    <w:nsid w:val="41A4C52E"/>
    <w:multiLevelType w:val="singleLevel"/>
    <w:tmpl w:val="41A4C52E"/>
    <w:lvl w:ilvl="0" w:tentative="0">
      <w:start w:val="1"/>
      <w:numFmt w:val="decimal"/>
      <w:lvlText w:val="(%1)"/>
      <w:lvlJc w:val="left"/>
      <w:pPr>
        <w:ind w:left="425" w:hanging="425"/>
      </w:pPr>
      <w:rPr>
        <w:rFonts w:hint="default"/>
      </w:rPr>
    </w:lvl>
  </w:abstractNum>
  <w:abstractNum w:abstractNumId="8">
    <w:nsid w:val="4DD22281"/>
    <w:multiLevelType w:val="singleLevel"/>
    <w:tmpl w:val="4DD22281"/>
    <w:lvl w:ilvl="0" w:tentative="0">
      <w:start w:val="1"/>
      <w:numFmt w:val="decimal"/>
      <w:lvlText w:val="(%1)"/>
      <w:lvlJc w:val="left"/>
      <w:pPr>
        <w:ind w:left="425" w:hanging="425"/>
      </w:pPr>
      <w:rPr>
        <w:rFonts w:hint="default"/>
      </w:rPr>
    </w:lvl>
  </w:abstractNum>
  <w:abstractNum w:abstractNumId="9">
    <w:nsid w:val="56D4E5D7"/>
    <w:multiLevelType w:val="singleLevel"/>
    <w:tmpl w:val="56D4E5D7"/>
    <w:lvl w:ilvl="0" w:tentative="0">
      <w:start w:val="1"/>
      <w:numFmt w:val="decimal"/>
      <w:lvlText w:val="(%1)"/>
      <w:lvlJc w:val="left"/>
      <w:pPr>
        <w:ind w:left="425" w:hanging="425"/>
      </w:pPr>
      <w:rPr>
        <w:rFonts w:hint="default"/>
      </w:rPr>
    </w:lvl>
  </w:abstractNum>
  <w:abstractNum w:abstractNumId="10">
    <w:nsid w:val="7CAA2FE7"/>
    <w:multiLevelType w:val="singleLevel"/>
    <w:tmpl w:val="7CAA2FE7"/>
    <w:lvl w:ilvl="0" w:tentative="0">
      <w:start w:val="1"/>
      <w:numFmt w:val="decimal"/>
      <w:lvlText w:val="(%1)"/>
      <w:lvlJc w:val="left"/>
      <w:pPr>
        <w:ind w:left="425" w:hanging="425"/>
      </w:pPr>
      <w:rPr>
        <w:rFonts w:hint="default"/>
      </w:rPr>
    </w:lvl>
  </w:abstractNum>
  <w:num w:numId="1">
    <w:abstractNumId w:val="5"/>
  </w:num>
  <w:num w:numId="2">
    <w:abstractNumId w:val="2"/>
  </w:num>
  <w:num w:numId="3">
    <w:abstractNumId w:val="6"/>
  </w:num>
  <w:num w:numId="4">
    <w:abstractNumId w:val="9"/>
  </w:num>
  <w:num w:numId="5">
    <w:abstractNumId w:val="10"/>
  </w:num>
  <w:num w:numId="6">
    <w:abstractNumId w:val="4"/>
  </w:num>
  <w:num w:numId="7">
    <w:abstractNumId w:val="7"/>
  </w:num>
  <w:num w:numId="8">
    <w:abstractNumId w:val="8"/>
  </w:num>
  <w:num w:numId="9">
    <w:abstractNumId w:val="0"/>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33063D"/>
    <w:rsid w:val="017C5FCE"/>
    <w:rsid w:val="0622059D"/>
    <w:rsid w:val="0BBC7F2B"/>
    <w:rsid w:val="160D0CD5"/>
    <w:rsid w:val="2DF74F76"/>
    <w:rsid w:val="2E6E1B11"/>
    <w:rsid w:val="3DA373EB"/>
    <w:rsid w:val="43140575"/>
    <w:rsid w:val="5133063D"/>
    <w:rsid w:val="6F7D2A2D"/>
    <w:rsid w:val="731352DC"/>
    <w:rsid w:val="73635E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楷体" w:cstheme="minorBidi"/>
      <w:sz w:val="24"/>
      <w:szCs w:val="22"/>
    </w:rPr>
  </w:style>
  <w:style w:type="paragraph" w:styleId="2">
    <w:name w:val="heading 1"/>
    <w:basedOn w:val="1"/>
    <w:next w:val="1"/>
    <w:qFormat/>
    <w:uiPriority w:val="0"/>
    <w:pPr>
      <w:keepNext/>
      <w:keepLines/>
      <w:spacing w:before="340" w:beforeLines="0" w:beforeAutospacing="0" w:after="330" w:afterLines="0" w:afterAutospacing="0" w:line="576" w:lineRule="auto"/>
      <w:jc w:val="left"/>
      <w:outlineLvl w:val="0"/>
    </w:pPr>
    <w:rPr>
      <w:b/>
      <w:kern w:val="44"/>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4537</Words>
  <Characters>4758</Characters>
  <Lines>0</Lines>
  <Paragraphs>0</Paragraphs>
  <TotalTime>75</TotalTime>
  <ScaleCrop>false</ScaleCrop>
  <LinksUpToDate>false</LinksUpToDate>
  <CharactersWithSpaces>4789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2026-01-19T17:31:00Z</dcterms:created>
  <dc:creator>数学建模老哥团队</dc:creator>
  <cp:lastModifiedBy>数学建模老哥团队</cp:lastModifiedBy>
  <dcterms:modified xsi:type="dcterms:W3CDTF">2026-05-22T00:49:15Z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DC8CDCA8193F4897B3E9A8383AF58C61_13</vt:lpwstr>
  </property>
  <property fmtid="{D5CDD505-2E9C-101B-9397-08002B2CF9AE}" pid="4" name="KSOTemplateDocerSaveRecord">
    <vt:lpwstr>eyJoZGlkIjoiMTExNzFiNzAyOThjYjY1MTRhN2I1YjEwNzgzY2EzODUiLCJ1c2VySWQiOiIyNzg5NDI3MjYifQ==</vt:lpwstr>
  </property>
</Properties>
</file>