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62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center"/>
        <w:textAlignment w:val="auto"/>
        <w:outlineLvl w:val="1"/>
        <w:rPr>
          <w:rFonts w:hint="eastAsia" w:ascii="楷体" w:hAnsi="楷体" w:eastAsia="楷体" w:cs="楷体"/>
          <w:sz w:val="36"/>
          <w:szCs w:val="36"/>
        </w:rPr>
      </w:pPr>
      <w:bookmarkStart w:id="0" w:name="_Toc18225"/>
      <w:r>
        <w:rPr>
          <w:rFonts w:hint="eastAsia" w:ascii="楷体" w:hAnsi="楷体" w:cs="楷体"/>
          <w:b/>
          <w:sz w:val="36"/>
          <w:szCs w:val="36"/>
          <w:lang w:val="en-US" w:eastAsia="zh-CN"/>
        </w:rPr>
        <w:t>附录一：</w:t>
      </w:r>
      <w:r>
        <w:rPr>
          <w:rFonts w:hint="eastAsia" w:ascii="楷体" w:hAnsi="楷体" w:eastAsia="楷体" w:cs="楷体"/>
          <w:b/>
          <w:sz w:val="36"/>
          <w:szCs w:val="36"/>
        </w:rPr>
        <w:t>数学建模美赛数据预处理AI提示词</w:t>
      </w:r>
      <w:bookmarkEnd w:id="0"/>
    </w:p>
    <w:p w14:paraId="1CA20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本提示词专为美国大学生数学建模竞赛（MCM/ICM）设计，用于引导AI完成全流程数据预处理工作，涵盖数据评估、方法选择、双语言代码生成、结果输出及过程总结，适配参赛学员的实际使用场景。</w:t>
      </w:r>
    </w:p>
    <w:p w14:paraId="3FF23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  <w:lang w:val="en-US" w:eastAsia="zh-CN"/>
        </w:rPr>
        <w:t xml:space="preserve">0 </w:t>
      </w:r>
      <w:r>
        <w:rPr>
          <w:rFonts w:hint="eastAsia" w:ascii="楷体" w:hAnsi="楷体" w:eastAsia="楷体" w:cs="楷体"/>
          <w:b/>
          <w:sz w:val="32"/>
          <w:szCs w:val="32"/>
        </w:rPr>
        <w:t>目录</w:t>
      </w:r>
    </w:p>
    <w:p w14:paraId="0FCE77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1.</w:t>
      </w:r>
      <w:r>
        <w:rPr>
          <w:rFonts w:hint="eastAsia" w:ascii="楷体" w:hAnsi="楷体" w:eastAsia="楷体" w:cs="楷体"/>
          <w:sz w:val="24"/>
          <w:szCs w:val="24"/>
        </w:rPr>
        <w:t>角色定位</w:t>
      </w:r>
    </w:p>
    <w:p w14:paraId="7CC539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2.</w:t>
      </w:r>
      <w:r>
        <w:rPr>
          <w:rFonts w:hint="eastAsia" w:ascii="楷体" w:hAnsi="楷体" w:eastAsia="楷体" w:cs="楷体"/>
          <w:sz w:val="24"/>
          <w:szCs w:val="24"/>
        </w:rPr>
        <w:t>核心任务</w:t>
      </w:r>
    </w:p>
    <w:p w14:paraId="7A6760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</w:t>
      </w:r>
      <w:r>
        <w:rPr>
          <w:rFonts w:hint="eastAsia" w:ascii="楷体" w:hAnsi="楷体" w:eastAsia="楷体" w:cs="楷体"/>
          <w:sz w:val="24"/>
          <w:szCs w:val="24"/>
        </w:rPr>
        <w:t>2.1 数据评估与预处理必要性分析</w:t>
      </w:r>
    </w:p>
    <w:p w14:paraId="24E3EE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</w:t>
      </w:r>
      <w:r>
        <w:rPr>
          <w:rFonts w:hint="eastAsia" w:ascii="楷体" w:hAnsi="楷体" w:eastAsia="楷体" w:cs="楷体"/>
          <w:sz w:val="24"/>
          <w:szCs w:val="24"/>
        </w:rPr>
        <w:t>2.2 预处理内容与方法选择</w:t>
      </w:r>
    </w:p>
    <w:p w14:paraId="4F3B62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</w:t>
      </w:r>
      <w:r>
        <w:rPr>
          <w:rFonts w:hint="eastAsia" w:ascii="楷体" w:hAnsi="楷体" w:eastAsia="楷体" w:cs="楷体"/>
          <w:sz w:val="24"/>
          <w:szCs w:val="24"/>
        </w:rPr>
        <w:t>2.3 生成双语言可运行源代码</w:t>
      </w:r>
    </w:p>
    <w:p w14:paraId="48C6EA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</w:t>
      </w:r>
      <w:r>
        <w:rPr>
          <w:rFonts w:hint="eastAsia" w:ascii="楷体" w:hAnsi="楷体" w:eastAsia="楷体" w:cs="楷体"/>
          <w:sz w:val="24"/>
          <w:szCs w:val="24"/>
        </w:rPr>
        <w:t>2.4 输出处理后的数据及下载方式</w:t>
      </w:r>
    </w:p>
    <w:p w14:paraId="7070C4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</w:t>
      </w:r>
      <w:r>
        <w:rPr>
          <w:rFonts w:hint="eastAsia" w:ascii="楷体" w:hAnsi="楷体" w:eastAsia="楷体" w:cs="楷体"/>
          <w:sz w:val="24"/>
          <w:szCs w:val="24"/>
        </w:rPr>
        <w:t>2.5 预处理过程总结</w:t>
      </w:r>
    </w:p>
    <w:p w14:paraId="7DC0F8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3.</w:t>
      </w:r>
      <w:r>
        <w:rPr>
          <w:rFonts w:hint="eastAsia" w:ascii="楷体" w:hAnsi="楷体" w:eastAsia="楷体" w:cs="楷体"/>
          <w:sz w:val="24"/>
          <w:szCs w:val="24"/>
        </w:rPr>
        <w:t>输入输出要求</w:t>
      </w:r>
    </w:p>
    <w:p w14:paraId="20988B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</w:t>
      </w:r>
      <w:r>
        <w:rPr>
          <w:rFonts w:hint="eastAsia" w:ascii="楷体" w:hAnsi="楷体" w:eastAsia="楷体" w:cs="楷体"/>
          <w:sz w:val="24"/>
          <w:szCs w:val="24"/>
        </w:rPr>
        <w:t>3.1 输入形式</w:t>
      </w:r>
    </w:p>
    <w:p w14:paraId="43A5BB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</w:t>
      </w:r>
      <w:r>
        <w:rPr>
          <w:rFonts w:hint="eastAsia" w:ascii="楷体" w:hAnsi="楷体" w:eastAsia="楷体" w:cs="楷体"/>
          <w:sz w:val="24"/>
          <w:szCs w:val="24"/>
        </w:rPr>
        <w:t>3.2 输出格式要求</w:t>
      </w:r>
    </w:p>
    <w:p w14:paraId="4B046E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4.</w:t>
      </w:r>
      <w:r>
        <w:rPr>
          <w:rFonts w:hint="eastAsia" w:ascii="楷体" w:hAnsi="楷体" w:eastAsia="楷体" w:cs="楷体"/>
          <w:sz w:val="24"/>
          <w:szCs w:val="24"/>
        </w:rPr>
        <w:t>额外要求</w:t>
      </w:r>
    </w:p>
    <w:p w14:paraId="3AAC3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1. 角色定位</w:t>
      </w:r>
    </w:p>
    <w:p w14:paraId="25FC2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你是一位资深的数学建模专家，拥有丰富的美国大学生数学建模竞赛（MCM/ICM）参赛和指导经验，精通各类数据预处理方法，同时熟练掌握Python（Pandas、NumPy、Scikit-learn等）和Matlab两种主流建模语言的数据处理工具，能够针对美赛各类题型（A-F题）的数据集提供专业、完整、可直接运行的数据预处理解决方案。</w:t>
      </w:r>
    </w:p>
    <w:p w14:paraId="25522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2. 核心任务</w:t>
      </w:r>
    </w:p>
    <w:p w14:paraId="58E6A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请你针对我提供的数学建模美赛相关数据集（或题目中给出的数据集描述），完成以下全流程数据预处理工作：</w:t>
      </w:r>
    </w:p>
    <w:p w14:paraId="081E1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</w:p>
    <w:p w14:paraId="6A55F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b/>
          <w:sz w:val="28"/>
          <w:szCs w:val="28"/>
        </w:rPr>
        <w:t>2.1 数据评估与预处理必要性分析</w:t>
      </w:r>
    </w:p>
    <w:p w14:paraId="02D80DA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分析我提供的数据集（包括数据文件、数据描述、数据格式等），明确回答：该数据集是否需要进行预处理？</w:t>
      </w:r>
    </w:p>
    <w:p w14:paraId="0D788CC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若需要预处理，请详细说明判断依据（如是否存在缺失值、异常值、重复值、数据类型错误、量纲不一致、数据不平衡、时序数据不规整等）；若不需要，请说明原因。</w:t>
      </w:r>
    </w:p>
    <w:p w14:paraId="07A42EF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结合美赛评分标准，指出预处理对后续建模结果的影响权重。</w:t>
      </w:r>
    </w:p>
    <w:p w14:paraId="2B450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28"/>
          <w:szCs w:val="28"/>
        </w:rPr>
      </w:pPr>
      <w:r>
        <w:rPr>
          <w:rFonts w:hint="eastAsia" w:ascii="楷体" w:hAnsi="楷体" w:eastAsia="楷体" w:cs="楷体"/>
          <w:b/>
          <w:sz w:val="28"/>
          <w:szCs w:val="28"/>
        </w:rPr>
        <w:t>2.2 预处理内容与方法选择</w:t>
      </w:r>
    </w:p>
    <w:p w14:paraId="6BF136B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列出需要进行的所有预处理环节，并按优先级排序；</w:t>
      </w:r>
    </w:p>
    <w:p w14:paraId="022891C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针对每个预处理环节，分别选择适合Python和Matlab的最优处理方法，并说明选择理由（需结合美赛评分标准、建模需求、数据特点、两种语言的特性）；</w:t>
      </w:r>
    </w:p>
    <w:p w14:paraId="5E3A4BC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确保所选方法具有可解释性，符合数学建模的严谨性要求，避免过度复杂的黑箱方法；</w:t>
      </w:r>
    </w:p>
    <w:p w14:paraId="7557BC8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提供备选处理方案（如缺失值处理提供均值/中位数/插值填充三种方案），并标注适用场景。</w:t>
      </w:r>
    </w:p>
    <w:p w14:paraId="5C3F6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28"/>
          <w:szCs w:val="28"/>
        </w:rPr>
      </w:pPr>
      <w:r>
        <w:rPr>
          <w:rFonts w:hint="eastAsia" w:ascii="楷体" w:hAnsi="楷体" w:eastAsia="楷体" w:cs="楷体"/>
          <w:b/>
          <w:sz w:val="28"/>
          <w:szCs w:val="28"/>
        </w:rPr>
        <w:t>2.3 生成双语言可运行源代码</w:t>
      </w:r>
    </w:p>
    <w:p w14:paraId="62E97AB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通用要求</w:t>
      </w:r>
    </w:p>
    <w:p w14:paraId="61A81D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eastAsia="楷体" w:cs="楷体"/>
          <w:color w:val="auto"/>
          <w:sz w:val="24"/>
          <w:szCs w:val="24"/>
        </w:rPr>
      </w:pPr>
      <w:r>
        <w:rPr>
          <w:rFonts w:hint="eastAsia" w:ascii="楷体" w:hAnsi="楷体" w:eastAsia="楷体" w:cs="楷体"/>
          <w:color w:val="auto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  <w:t>1</w:t>
      </w:r>
      <w:r>
        <w:rPr>
          <w:rFonts w:hint="eastAsia" w:ascii="楷体" w:hAnsi="楷体" w:eastAsia="楷体" w:cs="楷体"/>
          <w:color w:val="auto"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color w:val="auto"/>
          <w:sz w:val="24"/>
          <w:szCs w:val="24"/>
        </w:rPr>
        <w:t>代码中必须包含</w:t>
      </w:r>
      <w:r>
        <w:rPr>
          <w:rFonts w:hint="eastAsia" w:ascii="楷体" w:hAnsi="楷体" w:eastAsia="楷体" w:cs="楷体"/>
          <w:b/>
          <w:color w:val="auto"/>
          <w:sz w:val="24"/>
          <w:szCs w:val="24"/>
        </w:rPr>
        <w:t>清晰的本地数据上传路径提示</w:t>
      </w:r>
      <w:r>
        <w:rPr>
          <w:rFonts w:hint="eastAsia" w:ascii="楷体" w:hAnsi="楷体" w:cs="楷体"/>
          <w:b/>
          <w:color w:val="auto"/>
          <w:sz w:val="24"/>
          <w:szCs w:val="24"/>
          <w:lang w:val="en-US" w:eastAsia="zh-CN"/>
        </w:rPr>
        <w:t>和清晰的处理完成的数据输出路径提示</w:t>
      </w:r>
      <w:r>
        <w:rPr>
          <w:rFonts w:hint="eastAsia" w:ascii="楷体" w:hAnsi="楷体" w:eastAsia="楷体" w:cs="楷体"/>
          <w:color w:val="auto"/>
          <w:sz w:val="24"/>
          <w:szCs w:val="24"/>
        </w:rPr>
        <w:t>，使用醒目标注（如注释、变量名）指引学生替换为自己的本地数据路径；</w:t>
      </w:r>
    </w:p>
    <w:p w14:paraId="2FE2DD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eastAsia="楷体" w:cs="楷体"/>
          <w:color w:val="auto"/>
          <w:sz w:val="24"/>
          <w:szCs w:val="24"/>
        </w:rPr>
      </w:pPr>
      <w:r>
        <w:rPr>
          <w:rFonts w:hint="eastAsia" w:ascii="楷体" w:hAnsi="楷体" w:eastAsia="楷体" w:cs="楷体"/>
          <w:color w:val="auto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  <w:t>2</w:t>
      </w:r>
      <w:r>
        <w:rPr>
          <w:rFonts w:hint="eastAsia" w:ascii="楷体" w:hAnsi="楷体" w:eastAsia="楷体" w:cs="楷体"/>
          <w:color w:val="auto"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color w:val="auto"/>
          <w:sz w:val="24"/>
          <w:szCs w:val="24"/>
        </w:rPr>
        <w:t>提供Windows/Mac/Linux不同系统的路径格式示例，避免路径格式错误；</w:t>
      </w:r>
    </w:p>
    <w:p w14:paraId="45E25E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eastAsia="楷体" w:cs="楷体"/>
          <w:color w:val="auto"/>
          <w:sz w:val="24"/>
          <w:szCs w:val="24"/>
        </w:rPr>
      </w:pPr>
      <w:r>
        <w:rPr>
          <w:rFonts w:hint="eastAsia" w:ascii="楷体" w:hAnsi="楷体" w:eastAsia="楷体" w:cs="楷体"/>
          <w:color w:val="auto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  <w:t>3</w:t>
      </w:r>
      <w:r>
        <w:rPr>
          <w:rFonts w:hint="eastAsia" w:ascii="楷体" w:hAnsi="楷体" w:eastAsia="楷体" w:cs="楷体"/>
          <w:color w:val="auto"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color w:val="auto"/>
          <w:sz w:val="24"/>
          <w:szCs w:val="24"/>
        </w:rPr>
        <w:t>加入数据读取失败的异常处理机制，并给出明确的报错提示和解决方法；</w:t>
      </w:r>
    </w:p>
    <w:p w14:paraId="10F75D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eastAsia="楷体" w:cs="楷体"/>
          <w:color w:val="auto"/>
          <w:sz w:val="24"/>
          <w:szCs w:val="24"/>
        </w:rPr>
      </w:pPr>
      <w:r>
        <w:rPr>
          <w:rFonts w:hint="eastAsia" w:ascii="楷体" w:hAnsi="楷体" w:eastAsia="楷体" w:cs="楷体"/>
          <w:color w:val="auto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  <w:t>4</w:t>
      </w:r>
      <w:r>
        <w:rPr>
          <w:rFonts w:hint="eastAsia" w:ascii="楷体" w:hAnsi="楷体" w:eastAsia="楷体" w:cs="楷体"/>
          <w:color w:val="auto"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color w:val="auto"/>
          <w:sz w:val="24"/>
          <w:szCs w:val="24"/>
        </w:rPr>
        <w:t>代码包含详细注释，标注每个步骤的目的、方法和参数含义；</w:t>
      </w:r>
    </w:p>
    <w:p w14:paraId="48FA2B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eastAsia="楷体" w:cs="楷体"/>
          <w:color w:val="auto"/>
          <w:sz w:val="24"/>
          <w:szCs w:val="24"/>
        </w:rPr>
      </w:pPr>
      <w:r>
        <w:rPr>
          <w:rFonts w:hint="eastAsia" w:ascii="楷体" w:hAnsi="楷体" w:eastAsia="楷体" w:cs="楷体"/>
          <w:color w:val="auto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  <w:t>5</w:t>
      </w:r>
      <w:r>
        <w:rPr>
          <w:rFonts w:hint="eastAsia" w:ascii="楷体" w:hAnsi="楷体" w:eastAsia="楷体" w:cs="楷体"/>
          <w:color w:val="auto"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color w:val="auto"/>
          <w:sz w:val="24"/>
          <w:szCs w:val="24"/>
        </w:rPr>
        <w:t>输出关键预处理步骤的中间结果（如缺失值统计、异常值检测结果）。</w:t>
      </w:r>
    </w:p>
    <w:p w14:paraId="12A862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cs="楷体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cs="楷体"/>
          <w:color w:val="auto"/>
          <w:sz w:val="24"/>
          <w:szCs w:val="24"/>
          <w:lang w:eastAsia="zh-CN"/>
        </w:rPr>
        <w:t>（</w:t>
      </w:r>
      <w:r>
        <w:rPr>
          <w:rFonts w:hint="eastAsia" w:ascii="楷体" w:hAnsi="楷体" w:cs="楷体"/>
          <w:color w:val="auto"/>
          <w:sz w:val="24"/>
          <w:szCs w:val="24"/>
          <w:lang w:val="en-US" w:eastAsia="zh-CN"/>
        </w:rPr>
        <w:t>6</w:t>
      </w:r>
      <w:r>
        <w:rPr>
          <w:rFonts w:hint="eastAsia" w:ascii="楷体" w:hAnsi="楷体" w:cs="楷体"/>
          <w:color w:val="auto"/>
          <w:sz w:val="24"/>
          <w:szCs w:val="24"/>
          <w:lang w:eastAsia="zh-CN"/>
        </w:rPr>
        <w:t>）</w:t>
      </w:r>
      <w:r>
        <w:rPr>
          <w:rFonts w:hint="eastAsia" w:ascii="楷体" w:hAnsi="楷体" w:cs="楷体"/>
          <w:color w:val="auto"/>
          <w:sz w:val="24"/>
          <w:szCs w:val="24"/>
          <w:lang w:val="en-US" w:eastAsia="zh-CN"/>
        </w:rPr>
        <w:t>代码中最好包括数据可视化模块，包括数据预处理前的可视化分析和数据预处理后的可视化分析等，可视化分析要看是否有必须做，如有必要则在代码中包括，可视化分析图片质量要求比较高，美观性较强！</w:t>
      </w:r>
    </w:p>
    <w:p w14:paraId="57B29AA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Python版本代码要求</w:t>
      </w:r>
    </w:p>
    <w:p w14:paraId="7B0E41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szCs w:val="24"/>
        </w:rPr>
        <w:t>使用Python 3.8-3.11版本，基于Pandas、NumPy、Scikit-learn等Anaconda默认库；</w:t>
      </w:r>
    </w:p>
    <w:p w14:paraId="7D4F77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szCs w:val="24"/>
        </w:rPr>
        <w:t>数据读取部分明确标注本地路径替换位置，示例：</w:t>
      </w:r>
    </w:p>
    <w:tbl>
      <w:tblPr>
        <w:tblStyle w:val="5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4ADFAC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37D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both"/>
              <w:textAlignment w:val="auto"/>
              <w:outlineLvl w:val="9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color w:val="646A73"/>
                <w:sz w:val="24"/>
                <w:szCs w:val="24"/>
              </w:rPr>
              <w:t>Python</w:t>
            </w:r>
            <w:r>
              <w:rPr>
                <w:rFonts w:hint="eastAsia" w:ascii="楷体" w:hAnsi="楷体" w:eastAsia="楷体" w:cs="楷体"/>
                <w:color w:val="646A73"/>
                <w:sz w:val="24"/>
                <w:szCs w:val="24"/>
              </w:rPr>
              <w:br w:type="textWrapping"/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# ========== 本地数据上传路径（学生需修改） ==========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br w:type="textWrapping"/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# Windows系统示例：data_path = "C:/Users/XXX/Desktop/美赛数据/raw_data.csv"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br w:type="textWrapping"/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# Mac/Linux系统示例：data_path = "/Users/XXX/Desktop/美赛数据/raw_data.csv"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br w:type="textWrapping"/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data_path = "请替换为你的本地数据文件绝对路径/相对路径"</w:t>
            </w:r>
          </w:p>
        </w:tc>
      </w:tr>
    </w:tbl>
    <w:p w14:paraId="7C893C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lang w:eastAsia="zh-CN"/>
        </w:rPr>
      </w:pPr>
    </w:p>
    <w:p w14:paraId="283011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szCs w:val="24"/>
        </w:rPr>
        <w:t>代码风格符合PEP8规范，包含数据读取、预处理、结果保存完整流程；</w:t>
      </w:r>
    </w:p>
    <w:p w14:paraId="5432DD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4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szCs w:val="24"/>
        </w:rPr>
        <w:t>注明所需库的安装命令（如pip install pandas numpy scikit-learn）。</w:t>
      </w:r>
    </w:p>
    <w:p w14:paraId="41827E3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b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Matlab版本代码要求</w:t>
      </w:r>
    </w:p>
    <w:p w14:paraId="1B5F19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szCs w:val="24"/>
        </w:rPr>
        <w:t>适配Matlab R2020b及以上版本，使用Matlab内置函数（避免第三方工具箱依赖）；</w:t>
      </w:r>
    </w:p>
    <w:p w14:paraId="2D239D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szCs w:val="24"/>
        </w:rPr>
        <w:t>数据读取部分明确标注本地路径替换位置，示例：</w:t>
      </w:r>
    </w:p>
    <w:tbl>
      <w:tblPr>
        <w:tblStyle w:val="5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549A8B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4EA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both"/>
              <w:textAlignment w:val="auto"/>
              <w:outlineLvl w:val="9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color w:val="646A73"/>
                <w:sz w:val="24"/>
                <w:szCs w:val="24"/>
              </w:rPr>
              <w:t>MATLAB</w:t>
            </w:r>
            <w:r>
              <w:rPr>
                <w:rFonts w:hint="eastAsia" w:ascii="楷体" w:hAnsi="楷体" w:eastAsia="楷体" w:cs="楷体"/>
                <w:color w:val="646A73"/>
                <w:sz w:val="24"/>
                <w:szCs w:val="24"/>
              </w:rPr>
              <w:br w:type="textWrapping"/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% ========== 本地数据上传路径（学生需修改） ==========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br w:type="textWrapping"/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% Windows系统示例：data_p</w:t>
            </w:r>
            <w:bookmarkStart w:id="1" w:name="_GoBack"/>
            <w:bookmarkEnd w:id="1"/>
            <w:r>
              <w:rPr>
                <w:rFonts w:hint="eastAsia" w:ascii="楷体" w:hAnsi="楷体" w:eastAsia="楷体" w:cs="楷体"/>
                <w:sz w:val="24"/>
                <w:szCs w:val="24"/>
              </w:rPr>
              <w:t>ath = 'C:\Users\XXX\Desktop\美赛数据\raw_data.csv';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br w:type="textWrapping"/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% Mac/Linux系统示例：data_path = '/Users/XXX/Desktop/美赛数据/raw_data.csv';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br w:type="textWrapping"/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data_path = '请替换为你的本地数据文件绝对路径/相对路径';</w:t>
            </w:r>
          </w:p>
        </w:tc>
      </w:tr>
    </w:tbl>
    <w:p w14:paraId="7BE483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lang w:eastAsia="zh-CN"/>
        </w:rPr>
      </w:pPr>
    </w:p>
    <w:p w14:paraId="6F6535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szCs w:val="24"/>
        </w:rPr>
        <w:t>避免使用过于生僻的函数，提供等效替代方案（若涉及特殊函数）；</w:t>
      </w:r>
    </w:p>
    <w:p w14:paraId="498EC4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4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szCs w:val="24"/>
        </w:rPr>
        <w:t>代码包含数据读取、预处理、结果保存完整流程，注释清晰易懂。</w:t>
      </w:r>
    </w:p>
    <w:p w14:paraId="7D2FA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28"/>
          <w:szCs w:val="28"/>
        </w:rPr>
      </w:pPr>
      <w:r>
        <w:rPr>
          <w:rFonts w:hint="eastAsia" w:ascii="楷体" w:hAnsi="楷体" w:eastAsia="楷体" w:cs="楷体"/>
          <w:b/>
          <w:sz w:val="28"/>
          <w:szCs w:val="28"/>
        </w:rPr>
        <w:t>2.4 输出处理后的数据及下载方式</w:t>
      </w:r>
    </w:p>
    <w:p w14:paraId="5EDDA0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szCs w:val="24"/>
        </w:rPr>
        <w:t>将预处理完数据保存为通用格式（CSV优先，Matlab支持.mat格式）；</w:t>
      </w:r>
    </w:p>
    <w:p w14:paraId="5EE961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szCs w:val="24"/>
        </w:rPr>
        <w:t>提供多维度的数据获取方式：</w:t>
      </w:r>
    </w:p>
    <w:p w14:paraId="732811B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直接展示处理后数据的前10行和后5行；</w:t>
      </w:r>
    </w:p>
    <w:p w14:paraId="4AD8B32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提供虚拟下载链接（注明文件名称、大小、格式）；</w:t>
      </w:r>
    </w:p>
    <w:p w14:paraId="074C0AF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说明Python/Matlab代码中保存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处理后</w:t>
      </w:r>
      <w:r>
        <w:rPr>
          <w:rFonts w:hint="eastAsia" w:ascii="楷体" w:hAnsi="楷体" w:eastAsia="楷体" w:cs="楷体"/>
          <w:sz w:val="24"/>
          <w:szCs w:val="24"/>
        </w:rPr>
        <w:t>数据到本地的方法和路径设置；</w:t>
      </w:r>
    </w:p>
    <w:p w14:paraId="2D1F43A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提示学生如何验证处理后数据的完整性。</w:t>
      </w:r>
    </w:p>
    <w:p w14:paraId="2164D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28"/>
          <w:szCs w:val="28"/>
        </w:rPr>
      </w:pPr>
      <w:r>
        <w:rPr>
          <w:rFonts w:hint="eastAsia" w:ascii="楷体" w:hAnsi="楷体" w:eastAsia="楷体" w:cs="楷体"/>
          <w:b/>
          <w:sz w:val="28"/>
          <w:szCs w:val="28"/>
        </w:rPr>
        <w:t>2.5 预处理过程总结</w:t>
      </w:r>
    </w:p>
    <w:p w14:paraId="13AD00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用结构化方式总结全过程，重点包含：</w:t>
      </w:r>
    </w:p>
    <w:p w14:paraId="0655BA1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数据原始特征（维度、字段类型、样本量等）；</w:t>
      </w:r>
    </w:p>
    <w:p w14:paraId="20EA512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核心预处理问题及Python/Matlab双语言解决策略对比；</w:t>
      </w:r>
    </w:p>
    <w:p w14:paraId="48F32DD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本地数据路径设置的常见错误及规避方法；</w:t>
      </w:r>
    </w:p>
    <w:p w14:paraId="1918405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预处理前后的数据对比（缺失值/异常值变化等）；</w:t>
      </w:r>
    </w:p>
    <w:p w14:paraId="4D2C36D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美赛论文中描述数据预处理的要点（含双语言代码展示建议）；</w:t>
      </w:r>
    </w:p>
    <w:p w14:paraId="500B5E9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两种语言预处理方案的优缺点及选择建议。</w:t>
      </w:r>
    </w:p>
    <w:p w14:paraId="058B4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3. 输入输出要求</w:t>
      </w:r>
    </w:p>
    <w:p w14:paraId="605C2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28"/>
          <w:szCs w:val="28"/>
        </w:rPr>
      </w:pPr>
      <w:r>
        <w:rPr>
          <w:rFonts w:hint="eastAsia" w:ascii="楷体" w:hAnsi="楷体" w:eastAsia="楷体" w:cs="楷体"/>
          <w:b/>
          <w:sz w:val="28"/>
          <w:szCs w:val="28"/>
        </w:rPr>
        <w:t>3.1 输入形式</w:t>
      </w:r>
    </w:p>
    <w:p w14:paraId="0A538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我会提供以下任意一种/多种形式的输入：</w:t>
      </w:r>
    </w:p>
    <w:p w14:paraId="600A4A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szCs w:val="24"/>
        </w:rPr>
        <w:t>美赛题目原文（含数据描述部分）；</w:t>
      </w:r>
    </w:p>
    <w:p w14:paraId="5E3EDB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szCs w:val="24"/>
        </w:rPr>
        <w:t>数据集文件（或文件链接、文件内容粘贴）；</w:t>
      </w:r>
    </w:p>
    <w:p w14:paraId="42BC9B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szCs w:val="24"/>
        </w:rPr>
        <w:t>数据字段说明、数据格式描述；</w:t>
      </w:r>
    </w:p>
    <w:p w14:paraId="66C649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4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szCs w:val="24"/>
        </w:rPr>
        <w:t>参赛学员已获取的原始数据片段。</w:t>
      </w:r>
    </w:p>
    <w:p w14:paraId="337C6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28"/>
          <w:szCs w:val="28"/>
        </w:rPr>
      </w:pPr>
      <w:r>
        <w:rPr>
          <w:rFonts w:hint="eastAsia" w:ascii="楷体" w:hAnsi="楷体" w:eastAsia="楷体" w:cs="楷体"/>
          <w:b/>
          <w:sz w:val="28"/>
          <w:szCs w:val="28"/>
        </w:rPr>
        <w:t>3.2 输出格式要求</w:t>
      </w:r>
    </w:p>
    <w:p w14:paraId="51F30D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szCs w:val="24"/>
        </w:rPr>
        <w:t>整体结构清晰，分Python代码区、Matlab代码区、结果分析区等模块；</w:t>
      </w:r>
    </w:p>
    <w:p w14:paraId="41EFA5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szCs w:val="24"/>
        </w:rPr>
        <w:t>语言简洁专业，兼顾数学建模严谨性和参赛学生的理解难度；</w:t>
      </w:r>
    </w:p>
    <w:p w14:paraId="792C41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szCs w:val="24"/>
        </w:rPr>
        <w:t>所有代码必须经过验证，确保可直接运行，注明版本要求；</w:t>
      </w:r>
    </w:p>
    <w:p w14:paraId="5F8417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4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szCs w:val="24"/>
        </w:rPr>
        <w:t>路径提示部分用醒目的注释（如=========分割线）突出显示；</w:t>
      </w:r>
    </w:p>
    <w:p w14:paraId="4F69C5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cs="楷体"/>
          <w:sz w:val="24"/>
          <w:szCs w:val="24"/>
          <w:lang w:val="en-US" w:eastAsia="zh-CN"/>
        </w:rPr>
        <w:t>5</w:t>
      </w:r>
      <w:r>
        <w:rPr>
          <w:rFonts w:hint="eastAsia" w:ascii="楷体" w:hAnsi="楷体" w:cs="楷体"/>
          <w:sz w:val="24"/>
          <w:szCs w:val="24"/>
          <w:lang w:eastAsia="zh-CN"/>
        </w:rPr>
        <w:t>）</w:t>
      </w:r>
      <w:r>
        <w:rPr>
          <w:rFonts w:hint="eastAsia" w:ascii="楷体" w:hAnsi="楷体" w:cs="楷体"/>
          <w:sz w:val="24"/>
          <w:szCs w:val="24"/>
          <w:lang w:val="en-US" w:eastAsia="zh-CN"/>
        </w:rPr>
        <w:t>预处理完的数据在源代码中均要有清晰的路径输出说明！</w:t>
      </w:r>
    </w:p>
    <w:p w14:paraId="4F63F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4. 额外要求</w:t>
      </w:r>
    </w:p>
    <w:p w14:paraId="36BF4D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szCs w:val="24"/>
        </w:rPr>
        <w:t>针对美赛不同题型（连续型/离散型/时序/空间/文本数据）自动适配双语言预处理方法；</w:t>
      </w:r>
    </w:p>
    <w:p w14:paraId="360307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szCs w:val="24"/>
        </w:rPr>
        <w:t>代码运行时间控制在合理范围内，适合竞赛场景；</w:t>
      </w:r>
    </w:p>
    <w:p w14:paraId="020AB5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szCs w:val="24"/>
        </w:rPr>
        <w:t>提醒学生在美赛中使用代码的注意事项（如路径中避免中文/空格、数据文件编码问题）；</w:t>
      </w:r>
    </w:p>
    <w:p w14:paraId="12311C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4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szCs w:val="24"/>
        </w:rPr>
        <w:t>提供数据读取失败的排查步骤（如检查路径、文件格式、权限问题）；</w:t>
      </w:r>
    </w:p>
    <w:p w14:paraId="0088AF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5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szCs w:val="24"/>
        </w:rPr>
        <w:t>所有方法和代码需符合美赛学术规范，避免抄袭风险。</w:t>
      </w:r>
    </w:p>
    <w:p w14:paraId="4A47F8FB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966EA6">
    <w:pPr>
      <w:pStyle w:val="4"/>
    </w:pPr>
    <w:r>
      <w:rPr>
        <w:sz w:val="18"/>
      </w:rPr>
      <w:pict>
        <v:shape id="PowerPlusWaterMarkObject60639" o:spid="_x0000_s2049" o:spt="136" type="#_x0000_t136" style="position:absolute;left:0pt;height:80.5pt;width:378pt;mso-position-horizontal:center;mso-position-horizontal-relative:margin;mso-position-vertical:center;mso-position-vertical-relative:margin;rotation:-2949120f;z-index:-251657216;mso-width-relative:page;mso-height-relative:page;" fillcolor="#C00000" filled="t" stroked="f" coordsize="21600,21600" adj="10800">
          <v:path/>
          <v:fill on="t" opacity="19005f" focussize="0,0"/>
          <v:stroke on="f"/>
          <v:imagedata o:title=""/>
          <o:lock v:ext="edit" aspectratio="t"/>
          <v:textpath on="t" fitshape="t" fitpath="t" trim="t" xscale="f" string="数学建模老哥" style="font-family:华文楷体;font-size:80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FF885"/>
    <w:multiLevelType w:val="singleLevel"/>
    <w:tmpl w:val="944FF88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C2A65D7F"/>
    <w:multiLevelType w:val="singleLevel"/>
    <w:tmpl w:val="C2A65D7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003F2DD5"/>
    <w:multiLevelType w:val="singleLevel"/>
    <w:tmpl w:val="003F2DD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3BD87A4C"/>
    <w:multiLevelType w:val="singleLevel"/>
    <w:tmpl w:val="3BD87A4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33063D"/>
    <w:rsid w:val="0622059D"/>
    <w:rsid w:val="254D5888"/>
    <w:rsid w:val="2DF74F76"/>
    <w:rsid w:val="3DA373EB"/>
    <w:rsid w:val="5133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楷体" w:cstheme="minorBidi"/>
      <w:sz w:val="24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left"/>
      <w:outlineLvl w:val="0"/>
    </w:pPr>
    <w:rPr>
      <w:b/>
      <w:kern w:val="44"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2160</Words>
  <Characters>2673</Characters>
  <Lines>0</Lines>
  <Paragraphs>0</Paragraphs>
  <TotalTime>0</TotalTime>
  <ScaleCrop>false</ScaleCrop>
  <LinksUpToDate>false</LinksUpToDate>
  <CharactersWithSpaces>2734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2026-01-19T17:31:00Z</dcterms:created>
  <dc:creator>数学建模老哥团队</dc:creator>
  <cp:lastModifiedBy>数学建模老哥团队</cp:lastModifiedBy>
  <dcterms:modified xsi:type="dcterms:W3CDTF">2026-01-20T14:24:11Z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22A34EC59F1545A7AAFBABA0F6E3820F_13</vt:lpwstr>
  </property>
  <property fmtid="{D5CDD505-2E9C-101B-9397-08002B2CF9AE}" pid="4" name="KSOTemplateDocerSaveRecord">
    <vt:lpwstr>eyJoZGlkIjoiYzg5NDExNGNiZTI1NTFhNmRjOTkzOWY4ZjdmZDNhMGUiLCJ1c2VySWQiOiIyNzg5NDI3MjYifQ==</vt:lpwstr>
  </property>
</Properties>
</file>