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41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center"/>
        <w:textAlignment w:val="auto"/>
        <w:outlineLvl w:val="1"/>
        <w:rPr>
          <w:rFonts w:hint="eastAsia" w:ascii="楷体" w:hAnsi="楷体" w:eastAsia="楷体" w:cs="楷体"/>
          <w:b/>
          <w:sz w:val="36"/>
          <w:szCs w:val="36"/>
        </w:rPr>
      </w:pPr>
      <w:bookmarkStart w:id="0" w:name="_Toc1522"/>
      <w:r>
        <w:rPr>
          <w:rFonts w:hint="eastAsia" w:ascii="楷体" w:hAnsi="楷体" w:cs="楷体"/>
          <w:b/>
          <w:sz w:val="36"/>
          <w:szCs w:val="36"/>
          <w:lang w:val="en-US" w:eastAsia="zh-CN"/>
        </w:rPr>
        <w:t>附录三：数学建模美赛通用</w:t>
      </w:r>
      <w:r>
        <w:rPr>
          <w:rFonts w:hint="eastAsia" w:ascii="楷体" w:hAnsi="楷体" w:eastAsia="楷体" w:cs="楷体"/>
          <w:b/>
          <w:sz w:val="36"/>
          <w:szCs w:val="36"/>
        </w:rPr>
        <w:t>AI论文写作提示词</w:t>
      </w:r>
      <w:bookmarkEnd w:id="0"/>
    </w:p>
    <w:p w14:paraId="7AED0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核</w:t>
      </w:r>
      <w:r>
        <w:rPr>
          <w:rFonts w:hint="eastAsia" w:ascii="楷体" w:hAnsi="楷体" w:eastAsia="楷体" w:cs="楷体"/>
          <w:sz w:val="24"/>
          <w:szCs w:val="24"/>
        </w:rPr>
        <w:t>心定位：本报告以美赛O奖评分标准为底层逻辑，深度联动前文数学建模AI论文写作提示词，系统拆解论文各核心模块的撰写内容、规范要求、字数分配、写作要点及获奖技巧，实现“AI建模求解→论文精准转化→O奖标准落地”的全链路闭环，助力参赛团队规避高频扣分点，精准把控一等奖及以上水平论文的核心要素。</w:t>
      </w:r>
    </w:p>
    <w:p w14:paraId="3C9AA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24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36"/>
          <w:szCs w:val="36"/>
          <w:lang w:val="en-US" w:eastAsia="zh-CN"/>
        </w:rPr>
      </w:pPr>
      <w:r>
        <w:rPr>
          <w:rFonts w:hint="eastAsia" w:ascii="楷体" w:hAnsi="楷体" w:cs="楷体"/>
          <w:b/>
          <w:sz w:val="36"/>
          <w:szCs w:val="36"/>
          <w:lang w:val="en-US" w:eastAsia="zh-CN"/>
        </w:rPr>
        <w:t>一、</w:t>
      </w:r>
      <w:r>
        <w:rPr>
          <w:rFonts w:hint="eastAsia" w:ascii="楷体" w:hAnsi="楷体" w:eastAsia="楷体" w:cs="楷体"/>
          <w:b/>
          <w:sz w:val="36"/>
          <w:szCs w:val="36"/>
          <w:lang w:val="en-US" w:eastAsia="zh-CN"/>
        </w:rPr>
        <w:t>论文核心模块拆解与撰写规范</w:t>
      </w:r>
    </w:p>
    <w:p w14:paraId="29763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各模块撰写严格对标前文AI提示词的“求解逻辑→论文表达”联动要求，确保每部分内容均能精准转化建模成果，同时契合O奖评审对“逻辑严谨性、成果适配性、论证充分性”的核心诉求。</w:t>
      </w:r>
    </w:p>
    <w:p w14:paraId="62537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val="en-US" w:eastAsia="zh-CN"/>
        </w:rPr>
        <w:t xml:space="preserve">1.1 </w:t>
      </w:r>
      <w:r>
        <w:rPr>
          <w:rFonts w:hint="eastAsia" w:ascii="楷体" w:hAnsi="楷体" w:eastAsia="楷体" w:cs="楷体"/>
          <w:b/>
          <w:sz w:val="24"/>
          <w:szCs w:val="24"/>
        </w:rPr>
        <w:t>开篇模块：门面担当，定调论文层次</w:t>
      </w:r>
    </w:p>
    <w:p w14:paraId="00BD4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1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论文题目</w:t>
      </w:r>
    </w:p>
    <w:p w14:paraId="267DCBE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：严格采用“基于XXX模型/方法的XXX问题优化研究”格式，精准关联AI提示词中的核心模型（如改进微分方程-数值模拟模型、混合统计-机器学习模型、 Bayesian 反演模型等）与题目研究对象，明确“模型创新点+核心问题”双重属性，拒绝模糊化表述。</w:t>
      </w:r>
    </w:p>
    <w:p w14:paraId="4842B9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：20-30字，简洁凝练，无冗余修饰。</w:t>
      </w:r>
    </w:p>
    <w:p w14:paraId="659F48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必含AI提示词中的核心模型/方法，体现建模创新性；② 紧扣题目场景，避免脱离实际问题的形式化标题；③ 与摘要、核心章节的模型表述完全统一，形成呼应。</w:t>
      </w:r>
    </w:p>
    <w:p w14:paraId="11EA0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2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摘要（O奖核心评分点）</w:t>
      </w:r>
    </w:p>
    <w:p w14:paraId="15A0DF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：按“背景→问题→方法→结果→结论”五段式结构撰写，全程联动AI提示词的建模与求解成果，每部分均需有量化支撑和逻辑锚点。</w:t>
      </w:r>
    </w:p>
    <w:p w14:paraId="11C2A34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背景（3-5行）：结合题目领域现状痛点，关联AI提示词中的问题拆解逻辑，说明建模的必要性（如“楼梯磨损数据离散性强、多因素耦合影响显著，传统模型难以精准量化历史使用特征，亟需构建多机理融合模型”）。</w:t>
      </w:r>
    </w:p>
    <w:p w14:paraId="27D6E33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问题（2-3行）：分述各小问核心目标，对应AI提示词的子问题拆解思路，明确建模边界与约束条件。</w:t>
      </w:r>
    </w:p>
    <w:p w14:paraId="53848B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方法（3-4行）：明确AI提示词选定的核心模型、算法及创新改进，说明模型适配性（如“基于Archard磨损方程构建日人流量模型，融合Bayesian反演框架校准参数，结合Delaunay三角剖分实现磨损体积精准计算”）。</w:t>
      </w:r>
    </w:p>
    <w:p w14:paraId="7D9E379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结果（3-4行）：量化呈现AI求解得到的核心数据，标注精度、误差等关键指标（如“模型预测误差控制在5%以内，磨损体积计算精度达98.2%，成功推断3类典型使用模式的概率分布”）。</w:t>
      </w:r>
    </w:p>
    <w:p w14:paraId="0C0DBDC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结论（2-3行）：提炼创新点与实践价值，呼应AI提示词的模型应用导向，说明成果对题目领域的参考意义（如“模型为考古学非破坏性检测提供量化工具，可推广至各类历史建筑磨损分析场景”）。</w:t>
      </w:r>
    </w:p>
    <w:p w14:paraId="3CBFC7C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：800-1000字，严格控制在单页内，排版紧凑无冗余。</w:t>
      </w:r>
    </w:p>
    <w:p w14:paraId="72C4563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无主观臆断，所有表述均来自AI提示词的建模与求解成果；② 量化优先，避免“效果良好”“具有意义”等模糊表述；③ 提供分段版备选（每段以“针对问题X”开篇），适配格式优化需求。</w:t>
      </w:r>
    </w:p>
    <w:p w14:paraId="5018D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3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关键词</w:t>
      </w:r>
    </w:p>
    <w:p w14:paraId="337D448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：选取3-5个核心词汇，涵盖AI提示词中的核心模型名称、题目主题词，确保完全贴合论文核心与求解逻辑。</w:t>
      </w:r>
    </w:p>
    <w:p w14:paraId="18F5107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：每个词2-8字，关键词间用分号分隔。</w:t>
      </w:r>
    </w:p>
    <w:p w14:paraId="09C129E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必含1-2个核心模型词（如“Bayesian反演”“Archard方程”“Hurdle-Tobit模型”）；② 主题词紧扣题目场景（如“楼梯磨损分析”“奥运奖牌预测”“资源分配优化”）；③ 与摘要、核心章节高频词汇一致，提升检索适配性。</w:t>
      </w:r>
    </w:p>
    <w:p w14:paraId="1A50F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4"/>
          <w:szCs w:val="24"/>
          <w:lang w:val="en-US" w:eastAsia="zh-CN"/>
        </w:rPr>
      </w:pPr>
      <w:r>
        <w:rPr>
          <w:rFonts w:hint="eastAsia" w:ascii="楷体" w:hAnsi="楷体" w:cs="楷体"/>
          <w:b/>
          <w:sz w:val="24"/>
          <w:szCs w:val="24"/>
          <w:lang w:val="en-US" w:eastAsia="zh-CN"/>
        </w:rPr>
        <w:t>1.2</w:t>
      </w:r>
      <w:r>
        <w:rPr>
          <w:rFonts w:hint="eastAsia" w:ascii="楷体" w:hAnsi="楷体" w:eastAsia="楷体" w:cs="楷体"/>
          <w:b/>
          <w:sz w:val="24"/>
          <w:szCs w:val="24"/>
          <w:lang w:val="en-US" w:eastAsia="zh-CN"/>
        </w:rPr>
        <w:t xml:space="preserve"> 基础铺垫模块：逻辑衔接，强化机理支撑</w:t>
      </w:r>
    </w:p>
    <w:p w14:paraId="05E66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1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引言（含问题重述与分析）</w:t>
      </w:r>
    </w:p>
    <w:p w14:paraId="4BCB2AC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：分“背景阐述→问题重述→问题分析→研究思路”四部分，全程对标AI提示词的问题拆解与建模框架。</w:t>
      </w:r>
    </w:p>
    <w:p w14:paraId="35BFD21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背景阐述（150字左右）：拓展摘要背景，结合领域文献（1-2篇）说明研究现状与不足，凸显建模的创新性与必要性。</w:t>
      </w:r>
    </w:p>
    <w:p w14:paraId="7995BC5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问题重述（300字左右）：用原创语言梳理题目背景、核心目标与约束条件，提炼2-3个子问题，结合文献深化解读，铺垫后续建模逻辑。</w:t>
      </w:r>
    </w:p>
    <w:p w14:paraId="5CB4F54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分析（300字左右）：总-分结构，总述AI提示词的“机理驱动+数据支撑+优化验证”解题思路，分述各小问核心矛盾点与机理关联，附文字版流程图（标注“核心因子→机理分析→模型构建→求解验证”链路）。</w:t>
      </w:r>
      <w:r>
        <w:rPr>
          <w:rFonts w:hint="eastAsia" w:ascii="楷体" w:hAnsi="楷体" w:cs="楷体"/>
          <w:sz w:val="24"/>
          <w:szCs w:val="24"/>
          <w:lang w:val="en-US" w:eastAsia="zh-CN"/>
        </w:rPr>
        <w:t>问题分析需要分段落撰写，每段落开头格式为：问题X分析（如问题一分析：）</w:t>
      </w:r>
    </w:p>
    <w:p w14:paraId="11FA587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研究思路（100字左右）：简要说明论文章节安排，呼应AI建模流程，形成逻辑闭环。</w:t>
      </w:r>
    </w:p>
    <w:p w14:paraId="4D8235A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：800-1000字，单页限制。</w:t>
      </w:r>
    </w:p>
    <w:p w14:paraId="726A357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不提前泄露建模结果，仅铺垫思路；② 严格关联AI提示词的问题拆解逻辑，避免偏离核心；③ 文献引用精准，不堆砌无关文献。</w:t>
      </w:r>
    </w:p>
    <w:p w14:paraId="57B69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2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模型假设</w:t>
      </w:r>
    </w:p>
    <w:p w14:paraId="42FE6D9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：每条假设需满足“内容+依据+对模型影响”三要素，完全贴合AI提示词的建模简化需求，避免与求解假设冲突。</w:t>
      </w:r>
    </w:p>
    <w:p w14:paraId="4E83250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内容：对应AI提示词的简化设定（如“假设楼梯各台阶初始材料硬度一致，忽略微观材质差异”“假设奖牌数据零值仅源于参与但未获奖场景，无结构性零值”）。</w:t>
      </w:r>
    </w:p>
    <w:p w14:paraId="3B86F09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依据：基于机理规律、数据支撑或实际场景（如“结合建筑施工规范，同类楼梯通常采用统一材质；基于AI提示词数据预处理结果，结构性零值占比低于1%，可忽略”）。</w:t>
      </w:r>
    </w:p>
    <w:p w14:paraId="1B70E52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影响：说明对建模的作用与风险控制（如“简化模型复杂度，同时通过参数校准保障结果贴合实际；若材质差异显著，可通过敏感性分析验证模型稳健性”）。</w:t>
      </w:r>
    </w:p>
    <w:p w14:paraId="4AD2525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：3-5条，每条80-100字，总计300-500字。</w:t>
      </w:r>
    </w:p>
    <w:p w14:paraId="3A83DF5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不冗余、不遗漏核心假设，与AI建模逻辑高度一致；② 避免绝对化表述，体现严谨性；③ 假设影响部分需关联后续检验环节，形成闭环。</w:t>
      </w:r>
    </w:p>
    <w:p w14:paraId="12321C5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</w:p>
    <w:p w14:paraId="50F78B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3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符号说明</w:t>
      </w:r>
    </w:p>
    <w:p w14:paraId="6AD1B19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：采用三线表格式，汇总AI提示词中涉及的全局变量、参数，明确“符号+含义+单位/取值范围”，标注参数参考标准。</w:t>
      </w:r>
    </w:p>
    <w:p w14:paraId="205067C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：15-25个符号，表格占1页内。</w:t>
      </w:r>
    </w:p>
    <w:p w14:paraId="6006A34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符号与AI求解过程、模型公式完全统一，无歧义；② 参数单位/取值范围标注清晰（如“κ：磨损系数，无单位，取值范围10⁻⁷-3×10⁻⁷”）；③ 区分变量与参数，避免混淆。</w:t>
      </w:r>
    </w:p>
    <w:p w14:paraId="36B62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4"/>
          <w:szCs w:val="24"/>
          <w:lang w:val="en-US" w:eastAsia="zh-CN"/>
        </w:rPr>
      </w:pPr>
      <w:r>
        <w:rPr>
          <w:rFonts w:hint="eastAsia" w:ascii="楷体" w:hAnsi="楷体" w:cs="楷体"/>
          <w:b/>
          <w:sz w:val="24"/>
          <w:szCs w:val="24"/>
          <w:lang w:val="en-US" w:eastAsia="zh-CN"/>
        </w:rPr>
        <w:t>1.</w:t>
      </w:r>
      <w:r>
        <w:rPr>
          <w:rFonts w:hint="eastAsia" w:ascii="楷体" w:hAnsi="楷体" w:eastAsia="楷体" w:cs="楷体"/>
          <w:b/>
          <w:sz w:val="24"/>
          <w:szCs w:val="24"/>
          <w:lang w:val="en-US" w:eastAsia="zh-CN"/>
        </w:rPr>
        <w:t>3 核心实证模块：数据支撑，强化合规严谨</w:t>
      </w:r>
    </w:p>
    <w:p w14:paraId="10DF8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1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数据处理与预处理</w:t>
      </w:r>
    </w:p>
    <w:p w14:paraId="1E256FC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：完全联动AI提示词的数据处理流程，说明数据来源、清洗、填补、转换、规约的具体方法及依据，体现数据合规性与可追溯性。</w:t>
      </w:r>
    </w:p>
    <w:p w14:paraId="064C3A6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数据来源：标注具体来源（如“实验监测数据：自主采集的历史建筑楼梯照片；公开数据集：2000-2024年奥运奖牌统计数据；政策报告：考古学材质检测规范”）。</w:t>
      </w:r>
    </w:p>
    <w:p w14:paraId="4DC772C6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处理方法：对应AI提示词流程（如“时序数据：采用线性插值填补缺失值；离散数据：规整国家名称、项目名称统一表述；三维点云数据：通过Delaunay三角剖分转化为可计算单元”）。</w:t>
      </w:r>
    </w:p>
    <w:p w14:paraId="11557A5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处理结果：附核心数据概况表，说明处理后数据质量（如“缺失值占比从8.2%降至1.1%，数据一致性达99.5%，满足建模需求”）。</w:t>
      </w:r>
    </w:p>
    <w:p w14:paraId="4F0B54E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：500-700字，附1-2个数据表格/图表。</w:t>
      </w:r>
    </w:p>
    <w:p w14:paraId="134C575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与AI提示词数据处理成果同源，不虚构处理方法；② 标注关键步骤的工具与库（如“Python+trimesh库处理点云数据”）；③ 数据来源合规，美赛禁止使用未公开数据（需说明获取途径）。</w:t>
      </w:r>
    </w:p>
    <w:p w14:paraId="26840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2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参数校准与补充说明</w:t>
      </w:r>
    </w:p>
    <w:p w14:paraId="27C1308F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：基于AI提示词的校准方法，说明核心参数的校准过程、合理性及数据补充方案。</w:t>
      </w:r>
    </w:p>
    <w:p w14:paraId="37ACDB6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参数校准：沿用AI提示词方法（如“实验数据校准：通过已知磨损量的楼梯样本校准磨损系数κ；交叉验证校准：采用10折交叉验证优化Hurdle模型参数”），说明校准结果与依据。</w:t>
      </w:r>
    </w:p>
    <w:p w14:paraId="779744F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数据补充：区分必须补充与可选补充数据，推荐美赛可落地途径（如“核心数据缺失：通过行业规范推导边界值；辅助数据补充：引用权威机构发布的材质硬度标准”）。</w:t>
      </w:r>
    </w:p>
    <w:p w14:paraId="4D862AF5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：300-400字。</w:t>
      </w:r>
    </w:p>
    <w:p w14:paraId="087B94D3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校准过程可追溯，附简要校准曲线/表格；② 数据补充方案切实可行，符合美赛小团队、少工具的实际条件。</w:t>
      </w:r>
    </w:p>
    <w:p w14:paraId="49679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4"/>
          <w:szCs w:val="24"/>
          <w:lang w:val="en-US" w:eastAsia="zh-CN"/>
        </w:rPr>
      </w:pPr>
      <w:r>
        <w:rPr>
          <w:rFonts w:hint="eastAsia" w:ascii="楷体" w:hAnsi="楷体" w:cs="楷体"/>
          <w:b/>
          <w:sz w:val="24"/>
          <w:szCs w:val="24"/>
          <w:lang w:val="en-US" w:eastAsia="zh-CN"/>
        </w:rPr>
        <w:t>1.</w:t>
      </w:r>
      <w:r>
        <w:rPr>
          <w:rFonts w:hint="eastAsia" w:ascii="楷体" w:hAnsi="楷体" w:eastAsia="楷体" w:cs="楷体"/>
          <w:b/>
          <w:sz w:val="24"/>
          <w:szCs w:val="24"/>
          <w:lang w:val="en-US" w:eastAsia="zh-CN"/>
        </w:rPr>
        <w:t>4 核心建模模块：成果转化，凸显创新价值</w:t>
      </w:r>
    </w:p>
    <w:p w14:paraId="5E445F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outlineLvl w:val="9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帮我分别生成各小问完整的模型建立与求解、结果分析与结论的完整过程</w:t>
      </w:r>
      <w:r>
        <w:rPr>
          <w:rFonts w:hint="eastAsia" w:ascii="楷体" w:hAnsi="楷体" w:cs="楷体"/>
          <w:sz w:val="24"/>
          <w:szCs w:val="24"/>
          <w:lang w:val="en-US" w:eastAsia="zh-CN"/>
        </w:rPr>
        <w:t>！其中每小问分别单独包括</w:t>
      </w:r>
      <w:r>
        <w:rPr>
          <w:rFonts w:hint="eastAsia" w:ascii="楷体" w:hAnsi="楷体" w:eastAsia="楷体" w:cs="楷体"/>
          <w:b/>
          <w:sz w:val="24"/>
          <w:szCs w:val="24"/>
        </w:rPr>
        <w:t>模型建立与推导</w:t>
      </w:r>
      <w:r>
        <w:rPr>
          <w:rFonts w:hint="eastAsia" w:ascii="楷体" w:hAnsi="楷体" w:cs="楷体"/>
          <w:sz w:val="24"/>
          <w:szCs w:val="24"/>
          <w:lang w:val="en-US" w:eastAsia="zh-CN"/>
        </w:rPr>
        <w:t>、</w:t>
      </w:r>
      <w:r>
        <w:rPr>
          <w:rFonts w:hint="eastAsia" w:ascii="楷体" w:hAnsi="楷体" w:eastAsia="楷体" w:cs="楷体"/>
          <w:b/>
          <w:sz w:val="24"/>
          <w:szCs w:val="24"/>
        </w:rPr>
        <w:t>模型求解与结果呈现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、</w:t>
      </w:r>
      <w:r>
        <w:rPr>
          <w:rFonts w:hint="eastAsia" w:ascii="楷体" w:hAnsi="楷体" w:eastAsia="楷体" w:cs="楷体"/>
          <w:b/>
          <w:sz w:val="24"/>
          <w:szCs w:val="24"/>
        </w:rPr>
        <w:t>模型检验与验证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、</w:t>
      </w:r>
      <w:r>
        <w:rPr>
          <w:rFonts w:hint="eastAsia" w:ascii="楷体" w:hAnsi="楷体" w:eastAsia="楷体" w:cs="楷体"/>
          <w:b/>
          <w:sz w:val="24"/>
          <w:szCs w:val="24"/>
        </w:rPr>
        <w:t>结果分析与讨论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四个模块的内容！</w:t>
      </w:r>
    </w:p>
    <w:p w14:paraId="7E8F5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1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模型建立与推导</w:t>
      </w:r>
    </w:p>
    <w:p w14:paraId="3E1D1B5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：分小问撰写，每部分含“机理分析→建模步骤→核心公式”，精准转化AI提示词的建模成果，公式与机理高度关联。</w:t>
      </w:r>
    </w:p>
    <w:p w14:paraId="1F258F0B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leftChars="20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机理分析：说明模型适配题目场景的核心逻辑（如“基于Archard磨损方程，结合楼梯磨损的磨粒磨损与粘着磨损双重机理，构建日人流量与磨损深度的关联模型”）。</w:t>
      </w:r>
    </w:p>
    <w:p w14:paraId="10EB5E9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leftChars="20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建模步骤：对应AI提示词的建模流程，分步骤阐述（如“Hurdle模型构建：第一步用Logit模型计算获奖概率，第二步用截断分布计算获奖数量的条件期望”）。</w:t>
      </w:r>
    </w:p>
    <w:p w14:paraId="73DDF52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leftChars="20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核心公式：规范编号（如“(2.3)”表示第2章第3式），标注参数含义，关联AI提示词的推导逻辑（如“式(2.3)基于流体力学连续方程，对应AI提示词的动态演化建模逻辑，将流量与磨损深度关联”）。</w:t>
      </w:r>
    </w:p>
    <w:p w14:paraId="75807DA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：每小问800-1000字，全文2000-3000字。</w:t>
      </w:r>
    </w:p>
    <w:p w14:paraId="54890B44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公式推导不跳步，关键步骤有文字说明；② 创新点单独标注，与AI提示词的跨方法融合设计完全呼应（如“模型创新：将Bayesian变点检测与2SLS方法结合，解决教练效应量化的内生性问题”）；③ 避免纯公式堆砌，每类公式均有机理支撑。</w:t>
      </w:r>
    </w:p>
    <w:p w14:paraId="1A5A8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2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模型求解与结果呈现</w:t>
      </w:r>
    </w:p>
    <w:p w14:paraId="4BB4424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：明确求解工具、步骤与核心结果，可视化呈现AI求解生成的图表，文字解读与图表高度契合。</w:t>
      </w:r>
    </w:p>
    <w:p w14:paraId="5AD872D8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求解工具与步骤：标注软件及核心库（如“Python+Scikit-learn库实现随机森林模型；Matlab求解偏微分方程”），说明求解流程（如“PSO+MCMC算法：先通过PSO全局寻优，再用MCMC采样量化参数不确定性”）。</w:t>
      </w:r>
    </w:p>
    <w:p w14:paraId="645B339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核心结果：文字描述AI求解成果，量化关键指标（如“2028年奥运奖牌预测：美国奖牌增量15枚，安哥拉首获奖牌概率49.2%；楼梯磨损分析：短期大流量场景下中心磨损深度较长期小流量高30%”）。</w:t>
      </w:r>
    </w:p>
    <w:p w14:paraId="1800BEF1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图表呈现：所有图表均为AI求解生成，满足O奖格式规范（标题精准、坐标轴标注单位、图例清晰、图注30-50字说明核心结论），如趋势图、热力图、拓扑图等。</w:t>
      </w:r>
    </w:p>
    <w:p w14:paraId="017E106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：每小问600-800字，全文1800-2400字，图表占比合理（每章1-3个核心图表）。</w:t>
      </w:r>
    </w:p>
    <w:p w14:paraId="5217B24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求解步骤可复现，参数设置与AI提示词一致；② 结果解读不脱离模型机理，避免纯数值罗列；③ 图表编号连续，图注精准概括核心结论，与正文呼应。</w:t>
      </w:r>
    </w:p>
    <w:p w14:paraId="70B95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3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模型检验与验证</w:t>
      </w:r>
    </w:p>
    <w:p w14:paraId="7B69FEEA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：结合AI提示词的检验结果，说明适配题目的检验方法、步骤与结论，论证模型可靠性。</w:t>
      </w:r>
    </w:p>
    <w:p w14:paraId="21F3908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有效性检验：对应AI提示词方案（如“拟合优度检验：R²=0.85，MSE=20.15，优于传统模型；约束满足性检验：优化方案均满足资源总量约束”）。</w:t>
      </w:r>
    </w:p>
    <w:p w14:paraId="5851B96E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鲁棒性检验：复刻AI提示词的稳健性设计（如“参数波动检验：磨损系数κ波动10%时，结果偏差≤5%；模型对比检验：Hurdle模型预测精度较XGBoost提升18%”）。</w:t>
      </w:r>
    </w:p>
    <w:p w14:paraId="747520B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显著性检验：针对统计模型（如“回归系数显著性检验：RCA指数系数P&lt;0.01，显著影响奖牌数量；变点检测后验概率≥0.87，教练效应显著”）。</w:t>
      </w:r>
    </w:p>
    <w:p w14:paraId="59CF7BB3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：500-700字，附检验图表。</w:t>
      </w:r>
    </w:p>
    <w:p w14:paraId="515DA2D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检验方法与题目类型适配（连续模型侧重收敛性，离散模型侧重约束满足性，统计模型侧重显著性）；② 检验结论量化，避免“模型稳健性良好”等模糊表述；③ 检验结果与AI求解成果完全一致。</w:t>
      </w:r>
    </w:p>
    <w:p w14:paraId="7DF0B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4</w:t>
      </w:r>
      <w:r>
        <w:rPr>
          <w:rFonts w:hint="eastAsia" w:ascii="楷体" w:hAnsi="楷体" w:eastAsia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结果分析与讨论</w:t>
      </w:r>
    </w:p>
    <w:p w14:paraId="1BEE22C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：按“基础分析→深层分析→问题回应”三层结构，深化AI求解结果的解读，体现O奖论证深度。</w:t>
      </w:r>
    </w:p>
    <w:p w14:paraId="6592D93E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基础分析：解读结果核心意义，关联题目目标（如“奖牌预测结果显示，中印等国奖牌增量显著，反映新兴体育强国的崛起趋势”）。</w:t>
      </w:r>
    </w:p>
    <w:p w14:paraId="376887C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深层分析：验证结果与机理、约束的匹配度，对比模型优势（如“Hurdle模型对体育强国奖牌预测精度更高，Tobit模型适配奖牌数量较少国家，二者互补提升整体预测效果”）。</w:t>
      </w:r>
    </w:p>
    <w:p w14:paraId="2DFBC317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问题回应：直接对应题目诉求，说明结果如何解决核心问题（如“通过磨损模式分析，推断楼梯以单人流为主，短期大流量场景占比20%，为考古学使用场景还原提供依据”）。</w:t>
      </w:r>
    </w:p>
    <w:p w14:paraId="096EB539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：800-1000字。</w:t>
      </w:r>
    </w:p>
    <w:p w14:paraId="1F8F578A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楷体" w:hAnsi="楷体" w:eastAsia="楷体" w:cs="楷体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结合题目领域背景深化分析，不局限于数值解读；② 关联AI提示词的模型对比结论，凸显方案优越性；③ 回应前文问题重述，形成逻辑闭环。</w:t>
      </w:r>
    </w:p>
    <w:p w14:paraId="5EDA9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50"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4"/>
          <w:szCs w:val="24"/>
          <w:lang w:val="en-US" w:eastAsia="zh-CN"/>
        </w:rPr>
      </w:pPr>
      <w:r>
        <w:rPr>
          <w:rFonts w:hint="eastAsia" w:ascii="楷体" w:hAnsi="楷体" w:cs="楷体"/>
          <w:b/>
          <w:sz w:val="24"/>
          <w:szCs w:val="24"/>
          <w:lang w:val="en-US" w:eastAsia="zh-CN"/>
        </w:rPr>
        <w:t>1.</w:t>
      </w:r>
      <w:r>
        <w:rPr>
          <w:rFonts w:hint="eastAsia" w:ascii="楷体" w:hAnsi="楷体" w:eastAsia="楷体" w:cs="楷体"/>
          <w:b/>
          <w:sz w:val="24"/>
          <w:szCs w:val="24"/>
          <w:lang w:val="en-US" w:eastAsia="zh-CN"/>
        </w:rPr>
        <w:t>5 收尾模块：闭环思维，提升成果价值</w:t>
      </w:r>
    </w:p>
    <w:p w14:paraId="0400A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1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模型评价与改进</w:t>
      </w:r>
    </w:p>
    <w:p w14:paraId="09208193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：客观评价模型优劣，结合AI提示词优化思路提出具体改进方案，体现思维延展性。</w:t>
      </w:r>
    </w:p>
    <w:p w14:paraId="600C4B98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leftChars="20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优点（3-5条）：从创新、适配、可靠性维度，结合AI求解数据阐述（如“融合Bayesian反演与PSO算法，参数校准精度提升25%；适配零值膨胀数据，预测覆盖度达88.6%，优于传统机器学习模型”），每条均有数据支撑。</w:t>
      </w:r>
    </w:p>
    <w:p w14:paraId="51FE28B3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leftChars="20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模型缺点（2-3条）：客观说明局限（如“未覆盖极端场景下的材质老化影响；部分参数依赖经验值，样本量不足时精度略有下降”），不泛泛而谈。</w:t>
      </w:r>
    </w:p>
    <w:p w14:paraId="6FC26F4E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900" w:leftChars="20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改进与展望：结合AI提示词优化思路，提出具体方案（如“引入动态老化因子适配极端场景；采用迁移学习扩充样本，优化参数校准方法”），延伸长期研究方向（如“适配多类型历史建筑，构建通用磨损分析框架”）。</w:t>
      </w:r>
    </w:p>
    <w:p w14:paraId="223B4752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：600-800字。</w:t>
      </w:r>
    </w:p>
    <w:p w14:paraId="0ADEFE22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优点不夸大，缺点不回避，改进方案切实可行；② 与AI提示词的模型局限分析、优化思路完全对应，体现连贯性。</w:t>
      </w:r>
    </w:p>
    <w:p w14:paraId="6F4A8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2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参考文献</w:t>
      </w:r>
    </w:p>
    <w:p w14:paraId="0929F102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：近5年中外结合，以题目对应领域文献为主，含AI提示词参考的权威报告，格式规范。</w:t>
      </w:r>
    </w:p>
    <w:p w14:paraId="5E1BE17A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：5-10条，中外比例1:1或2:1。</w:t>
      </w:r>
    </w:p>
    <w:p w14:paraId="491127B8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格式规范（APA或MLA格式），作者、年份、来源完整；② 避免引用非学术性文献（如百度百科）；③ 与论文内容高度相关，不堆砌无关文献。</w:t>
      </w:r>
    </w:p>
    <w:p w14:paraId="4BF7A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4"/>
          <w:szCs w:val="24"/>
        </w:rPr>
      </w:pPr>
      <w:r>
        <w:rPr>
          <w:rFonts w:hint="eastAsia" w:ascii="楷体" w:hAnsi="楷体" w:cs="楷体"/>
          <w:b/>
          <w:sz w:val="24"/>
          <w:szCs w:val="24"/>
          <w:lang w:eastAsia="zh-CN"/>
        </w:rPr>
        <w:t>（</w:t>
      </w:r>
      <w:r>
        <w:rPr>
          <w:rFonts w:hint="eastAsia" w:ascii="楷体" w:hAnsi="楷体" w:cs="楷体"/>
          <w:b/>
          <w:sz w:val="24"/>
          <w:szCs w:val="24"/>
          <w:lang w:val="en-US" w:eastAsia="zh-CN"/>
        </w:rPr>
        <w:t>3</w:t>
      </w:r>
      <w:r>
        <w:rPr>
          <w:rFonts w:hint="eastAsia" w:ascii="楷体" w:hAnsi="楷体" w:cs="楷体"/>
          <w:b/>
          <w:sz w:val="24"/>
          <w:szCs w:val="24"/>
          <w:lang w:eastAsia="zh-CN"/>
        </w:rPr>
        <w:t>）</w:t>
      </w:r>
      <w:r>
        <w:rPr>
          <w:rFonts w:hint="eastAsia" w:ascii="楷体" w:hAnsi="楷体" w:eastAsia="楷体" w:cs="楷体"/>
          <w:b/>
          <w:sz w:val="24"/>
          <w:szCs w:val="24"/>
        </w:rPr>
        <w:t>附录</w:t>
      </w:r>
    </w:p>
    <w:p w14:paraId="241971C4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撰写内容</w:t>
      </w:r>
      <w:r>
        <w:rPr>
          <w:rFonts w:hint="eastAsia" w:ascii="楷体" w:hAnsi="楷体" w:eastAsia="楷体" w:cs="楷体"/>
          <w:sz w:val="24"/>
          <w:szCs w:val="24"/>
        </w:rPr>
        <w:t>：整合建模与求解相关材料，便于评审追溯全过程。</w:t>
      </w:r>
    </w:p>
    <w:p w14:paraId="356F4891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代码：</w:t>
      </w:r>
      <w:r>
        <w:rPr>
          <w:rFonts w:hint="eastAsia" w:ascii="楷体" w:hAnsi="楷体" w:cs="楷体"/>
          <w:sz w:val="24"/>
          <w:szCs w:val="24"/>
          <w:lang w:val="en-US" w:eastAsia="zh-CN"/>
        </w:rPr>
        <w:t>生成各小问</w:t>
      </w:r>
      <w:r>
        <w:rPr>
          <w:rFonts w:hint="eastAsia" w:ascii="楷体" w:hAnsi="楷体" w:eastAsia="楷体" w:cs="楷体"/>
          <w:sz w:val="24"/>
          <w:szCs w:val="24"/>
        </w:rPr>
        <w:t>完整带注释代码，与AI提示词代码一致，标注语言版本及核心模块（如“Python 3.9，核心库：Scikit-learn、Matplotlib”）。</w:t>
      </w:r>
      <w:r>
        <w:rPr>
          <w:rFonts w:hint="eastAsia" w:ascii="楷体" w:hAnsi="楷体" w:cs="楷体"/>
          <w:sz w:val="24"/>
          <w:szCs w:val="24"/>
          <w:lang w:val="en-US" w:eastAsia="zh-CN"/>
        </w:rPr>
        <w:t>代码按照具体功能命名，如问题一时间序列分析预测模型源代码</w:t>
      </w:r>
    </w:p>
    <w:p w14:paraId="7C7485D9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中间结果：求解过程的中间数据、参数校准曲线、补充检验图表。</w:t>
      </w:r>
    </w:p>
    <w:p w14:paraId="03FDCFF3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200" w:firstLine="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其他：数据来源详情、问卷/采样方案（若有）、复杂公式推导过程。</w:t>
      </w:r>
    </w:p>
    <w:p w14:paraId="7D56C1A2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字数要求</w:t>
      </w:r>
      <w:r>
        <w:rPr>
          <w:rFonts w:hint="eastAsia" w:ascii="楷体" w:hAnsi="楷体" w:eastAsia="楷体" w:cs="楷体"/>
          <w:sz w:val="24"/>
          <w:szCs w:val="24"/>
        </w:rPr>
        <w:t>：无严格限制，排版清晰，重点突出。</w:t>
      </w:r>
    </w:p>
    <w:p w14:paraId="7A684221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写作要点</w:t>
      </w:r>
      <w:r>
        <w:rPr>
          <w:rFonts w:hint="eastAsia" w:ascii="楷体" w:hAnsi="楷体" w:eastAsia="楷体" w:cs="楷体"/>
          <w:sz w:val="24"/>
          <w:szCs w:val="24"/>
        </w:rPr>
        <w:t>：① 代码可复现，注释清晰；② 附录内容与正文对应，不冗余。</w:t>
      </w:r>
    </w:p>
    <w:p w14:paraId="431D8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24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b/>
          <w:sz w:val="28"/>
          <w:szCs w:val="28"/>
          <w:lang w:val="en-US" w:eastAsia="zh-CN"/>
        </w:rPr>
      </w:pPr>
      <w:r>
        <w:br w:type="page"/>
      </w:r>
      <w:r>
        <w:rPr>
          <w:rFonts w:hint="eastAsia" w:ascii="楷体" w:hAnsi="楷体" w:cs="楷体"/>
          <w:b/>
          <w:sz w:val="36"/>
          <w:szCs w:val="36"/>
          <w:lang w:val="en-US" w:eastAsia="zh-CN"/>
        </w:rPr>
        <w:t>二、全文优化与定稿（细节打磨，规避扣分）</w:t>
      </w:r>
    </w:p>
    <w:p w14:paraId="20850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操作目标</w:t>
      </w:r>
      <w:r>
        <w:rPr>
          <w:rFonts w:hint="eastAsia" w:ascii="楷体" w:hAnsi="楷体" w:eastAsia="楷体" w:cs="楷体"/>
          <w:sz w:val="24"/>
          <w:szCs w:val="24"/>
        </w:rPr>
        <w:t>：修正逻辑漏洞、格式错误，强化核心亮点，确保全文达标O奖标准。</w:t>
      </w:r>
    </w:p>
    <w:p w14:paraId="30DF8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AI执行内容</w:t>
      </w:r>
      <w:r>
        <w:rPr>
          <w:rFonts w:hint="eastAsia" w:ascii="楷体" w:hAnsi="楷体" w:eastAsia="楷体" w:cs="楷体"/>
          <w:sz w:val="24"/>
          <w:szCs w:val="24"/>
        </w:rPr>
        <w:t>：</w:t>
      </w:r>
    </w:p>
    <w:p w14:paraId="6B58DE6D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一致性核对：逐章检查公式、符号、数据、图表标注的统一性，修正与第一步素材不符的内容，确保“建模成果→论文表达”无偏差。</w:t>
      </w:r>
    </w:p>
    <w:p w14:paraId="3BB345AB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格式校准：统一字体（宋体小四号）、行距（1.5倍）、页边距（上下2.5cm，左右2cm）、编号规则（公式按章节、图表全文连续），优化三线表、公式排版，确保粘贴后无需大幅调整。</w:t>
      </w:r>
    </w:p>
    <w:p w14:paraId="1A7912CD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亮点强化：针对目标奖项，优化创新点阐述、量化论证，补充题型专属亮点（如O奖强化跨方法融合价值，M奖强化逻辑严谨性）。</w:t>
      </w:r>
    </w:p>
    <w:p w14:paraId="244C3A34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问题修正：标注口语化、模糊化表述，替换为学术语言；补充缺失的量化指标、图注、参数说明，规避高频扣分点。</w:t>
      </w:r>
    </w:p>
    <w:p w14:paraId="7FA34ACD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适配调整：根据团队反馈，针对性优化章节内容，确保符合赛程时间与团队能力。</w:t>
      </w:r>
    </w:p>
    <w:p w14:paraId="41BAC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b/>
          <w:sz w:val="24"/>
          <w:szCs w:val="24"/>
        </w:rPr>
        <w:t>AI输出要求</w:t>
      </w:r>
      <w:r>
        <w:rPr>
          <w:rFonts w:hint="eastAsia" w:ascii="楷体" w:hAnsi="楷体" w:eastAsia="楷体" w:cs="楷体"/>
          <w:sz w:val="24"/>
          <w:szCs w:val="24"/>
        </w:rPr>
        <w:t>：生成优化后的完整论文、修改说明清单（含修正点、优化方向）、最终格式规范版，供团队直接提交或微调使用。</w:t>
      </w:r>
    </w:p>
    <w:p w14:paraId="23170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</w:p>
    <w:tbl>
      <w:tblPr>
        <w:tblStyle w:val="5"/>
        <w:tblW w:w="0" w:type="auto"/>
        <w:jc w:val="center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4504B1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7C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/>
              <w:jc w:val="both"/>
              <w:textAlignment w:val="auto"/>
              <w:outlineLvl w:val="9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核心提醒：本提示词全程依赖第一步素材的完整性与准确性，请务必提前整理好建模求解全成果；AI输出后需人工重点核对机理逻辑、公式推导与数据一致性，避免格式错误与逻辑漏洞，最大化契合O奖评审偏好。</w:t>
            </w:r>
          </w:p>
        </w:tc>
      </w:tr>
    </w:tbl>
    <w:p w14:paraId="7C1FE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9"/>
        <w:rPr>
          <w:rFonts w:hint="eastAsia" w:ascii="楷体" w:hAnsi="楷体" w:eastAsia="楷体" w:cs="楷体"/>
          <w:sz w:val="24"/>
          <w:szCs w:val="24"/>
        </w:rPr>
      </w:pPr>
    </w:p>
    <w:p w14:paraId="667BA790">
      <w:bookmarkStart w:id="1" w:name="_GoBack"/>
      <w:bookmarkEnd w:id="1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54769">
    <w:pPr>
      <w:pStyle w:val="4"/>
    </w:pPr>
    <w:r>
      <w:rPr>
        <w:sz w:val="18"/>
      </w:rPr>
      <w:pict>
        <v:shape id="PowerPlusWaterMarkObject60639" o:spid="_x0000_s2049" o:spt="136" type="#_x0000_t136" style="position:absolute;left:0pt;height:80.5pt;width:378pt;mso-position-horizontal:center;mso-position-horizontal-relative:margin;mso-position-vertical:center;mso-position-vertical-relative:margin;rotation:-2949120f;z-index:-251657216;mso-width-relative:page;mso-height-relative:page;" fillcolor="#C00000" filled="t" stroked="f" coordsize="21600,21600" adj="10800">
          <v:path/>
          <v:fill on="t" opacity="19005f" focussize="0,0"/>
          <v:stroke on="f"/>
          <v:imagedata o:title=""/>
          <o:lock v:ext="edit" aspectratio="t"/>
          <v:textpath on="t" fitshape="t" fitpath="t" trim="t" xscale="f" string="数学建模老哥" style="font-family:华文楷体;font-size:8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32DAB"/>
    <w:multiLevelType w:val="singleLevel"/>
    <w:tmpl w:val="85632D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E5E44D2"/>
    <w:multiLevelType w:val="singleLevel"/>
    <w:tmpl w:val="8E5E44D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8F58DABB"/>
    <w:multiLevelType w:val="singleLevel"/>
    <w:tmpl w:val="8F58DAB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1A35D85"/>
    <w:multiLevelType w:val="singleLevel"/>
    <w:tmpl w:val="91A35D8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97060501"/>
    <w:multiLevelType w:val="singleLevel"/>
    <w:tmpl w:val="970605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9C17558B"/>
    <w:multiLevelType w:val="singleLevel"/>
    <w:tmpl w:val="9C1755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9CE8F773"/>
    <w:multiLevelType w:val="singleLevel"/>
    <w:tmpl w:val="9CE8F77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9DE38D5F"/>
    <w:multiLevelType w:val="singleLevel"/>
    <w:tmpl w:val="9DE38D5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A4C115BD"/>
    <w:multiLevelType w:val="singleLevel"/>
    <w:tmpl w:val="A4C115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AF0A19BF"/>
    <w:multiLevelType w:val="singleLevel"/>
    <w:tmpl w:val="AF0A19B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BE131759"/>
    <w:multiLevelType w:val="singleLevel"/>
    <w:tmpl w:val="BE13175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BE91624F"/>
    <w:multiLevelType w:val="singleLevel"/>
    <w:tmpl w:val="BE91624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C7392282"/>
    <w:multiLevelType w:val="singleLevel"/>
    <w:tmpl w:val="C739228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D693770E"/>
    <w:multiLevelType w:val="singleLevel"/>
    <w:tmpl w:val="D693770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DFBB8236"/>
    <w:multiLevelType w:val="singleLevel"/>
    <w:tmpl w:val="DFBB823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E48F846A"/>
    <w:multiLevelType w:val="singleLevel"/>
    <w:tmpl w:val="E48F84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ECCB53F4"/>
    <w:multiLevelType w:val="singleLevel"/>
    <w:tmpl w:val="ECCB53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F68AF663"/>
    <w:multiLevelType w:val="singleLevel"/>
    <w:tmpl w:val="F68AF66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FC509C85"/>
    <w:multiLevelType w:val="singleLevel"/>
    <w:tmpl w:val="FC509C8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05CBFEA2"/>
    <w:multiLevelType w:val="singleLevel"/>
    <w:tmpl w:val="05CBFEA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1CFC7175"/>
    <w:multiLevelType w:val="singleLevel"/>
    <w:tmpl w:val="1CFC717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2B872419"/>
    <w:multiLevelType w:val="singleLevel"/>
    <w:tmpl w:val="2B87241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40711426"/>
    <w:multiLevelType w:val="singleLevel"/>
    <w:tmpl w:val="4071142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5C8BE382"/>
    <w:multiLevelType w:val="singleLevel"/>
    <w:tmpl w:val="5C8BE38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7"/>
  </w:num>
  <w:num w:numId="2">
    <w:abstractNumId w:val="1"/>
  </w:num>
  <w:num w:numId="3">
    <w:abstractNumId w:val="9"/>
  </w:num>
  <w:num w:numId="4">
    <w:abstractNumId w:val="16"/>
  </w:num>
  <w:num w:numId="5">
    <w:abstractNumId w:val="6"/>
  </w:num>
  <w:num w:numId="6">
    <w:abstractNumId w:val="4"/>
  </w:num>
  <w:num w:numId="7">
    <w:abstractNumId w:val="13"/>
  </w:num>
  <w:num w:numId="8">
    <w:abstractNumId w:val="19"/>
  </w:num>
  <w:num w:numId="9">
    <w:abstractNumId w:val="10"/>
  </w:num>
  <w:num w:numId="10">
    <w:abstractNumId w:val="2"/>
  </w:num>
  <w:num w:numId="11">
    <w:abstractNumId w:val="11"/>
  </w:num>
  <w:num w:numId="12">
    <w:abstractNumId w:val="7"/>
  </w:num>
  <w:num w:numId="13">
    <w:abstractNumId w:val="3"/>
  </w:num>
  <w:num w:numId="14">
    <w:abstractNumId w:val="0"/>
  </w:num>
  <w:num w:numId="15">
    <w:abstractNumId w:val="20"/>
  </w:num>
  <w:num w:numId="16">
    <w:abstractNumId w:val="23"/>
  </w:num>
  <w:num w:numId="17">
    <w:abstractNumId w:val="18"/>
  </w:num>
  <w:num w:numId="18">
    <w:abstractNumId w:val="5"/>
  </w:num>
  <w:num w:numId="19">
    <w:abstractNumId w:val="14"/>
  </w:num>
  <w:num w:numId="20">
    <w:abstractNumId w:val="21"/>
  </w:num>
  <w:num w:numId="21">
    <w:abstractNumId w:val="12"/>
  </w:num>
  <w:num w:numId="22">
    <w:abstractNumId w:val="8"/>
  </w:num>
  <w:num w:numId="23">
    <w:abstractNumId w:val="22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33063D"/>
    <w:rsid w:val="0622059D"/>
    <w:rsid w:val="134A71EB"/>
    <w:rsid w:val="2DF74F76"/>
    <w:rsid w:val="3DA043BF"/>
    <w:rsid w:val="3DA373EB"/>
    <w:rsid w:val="3F34383F"/>
    <w:rsid w:val="5133063D"/>
    <w:rsid w:val="7313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theme="minorBidi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left"/>
      <w:outlineLvl w:val="0"/>
    </w:pPr>
    <w:rPr>
      <w:b/>
      <w:kern w:val="44"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5390</Words>
  <Characters>5536</Characters>
  <Lines>0</Lines>
  <Paragraphs>0</Paragraphs>
  <TotalTime>0</TotalTime>
  <ScaleCrop>false</ScaleCrop>
  <LinksUpToDate>false</LinksUpToDate>
  <CharactersWithSpaces>5603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2026-01-19T17:31:00Z</dcterms:created>
  <dc:creator>数学建模老哥团队</dc:creator>
  <cp:lastModifiedBy>数学建模老哥团队</cp:lastModifiedBy>
  <dcterms:modified xsi:type="dcterms:W3CDTF">2026-01-20T14:25:35Z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9FF140F48D76483CB8ADD5E9886B8202_13</vt:lpwstr>
  </property>
  <property fmtid="{D5CDD505-2E9C-101B-9397-08002B2CF9AE}" pid="4" name="KSOTemplateDocerSaveRecord">
    <vt:lpwstr>eyJoZGlkIjoiYzg5NDExNGNiZTI1NTFhNmRjOTkzOWY4ZjdmZDNhMGUiLCJ1c2VySWQiOiIyNzg5NDI3MjYifQ==</vt:lpwstr>
  </property>
</Properties>
</file>