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12" w:afterLines="100"/>
      </w:pPr>
      <w:r>
        <w:pict>
          <v:shape id="_x0000_s1026" o:spid="_x0000_s1026" o:spt="75" type="#_x0000_t75" style="position:absolute;left:0pt;margin-left:-257.7pt;margin-top:-72.45pt;height:844.35pt;width:596.9pt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2"/>
            <o:lock v:ext="edit" aspectratio="t"/>
          </v:shape>
        </w:pict>
      </w:r>
      <w:r>
        <w:pict>
          <v:shape id="_x0000_s1027" o:spid="_x0000_s1027" o:spt="202" type="#_x0000_t202" style="position:absolute;left:0pt;margin-left:-264.75pt;margin-top:126.8pt;height:194.95pt;width:378.75pt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0" w:name="_Title#2688646731"/>
                  <w:r>
                    <w:rPr>
                      <w:rFonts w:hint="eastAsia"/>
                      <w:color w:val="800080"/>
                      <w:sz w:val="80"/>
                      <w:lang w:val="en-US" w:eastAsia="zh-CN"/>
                    </w:rPr>
                    <w:t>迭代三</w:t>
                  </w:r>
                  <w:r>
                    <w:rPr>
                      <w:rFonts w:hint="eastAsia"/>
                      <w:color w:val="800080"/>
                      <w:sz w:val="80"/>
                    </w:rPr>
                    <w:t>项目计划文档</w:t>
                  </w:r>
                  <w:bookmarkEnd w:id="0"/>
                </w:p>
                <w:p>
                  <w:pPr>
                    <w:jc w:val="right"/>
                    <w:rPr>
                      <w:color w:val="800080"/>
                      <w:sz w:val="80"/>
                      <w:lang w:val="zh-CN"/>
                    </w:rPr>
                  </w:pPr>
                  <w:bookmarkStart w:id="1" w:name="_Subtitle#2940527000"/>
                  <w:r>
                    <w:rPr>
                      <w:rFonts w:hint="eastAsia"/>
                      <w:color w:val="800080"/>
                      <w:sz w:val="40"/>
                    </w:rPr>
                    <w:t>量化投资系统QI_System</w:t>
                  </w:r>
                  <w:bookmarkEnd w:id="1"/>
                </w:p>
              </w:txbxContent>
            </v:textbox>
          </v:shape>
        </w:pict>
      </w:r>
      <w:r>
        <w:pict>
          <v:rect id="_x0000_s1028" o:spid="_x0000_s1028" o:spt="1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coordsize="21600,21600">
            <v:path/>
            <v:fill focussize="0,0"/>
            <v:stroke/>
            <v:imagedata o:title=""/>
            <o:lock v:ext="edit"/>
            <v:textbox style="mso-fit-shape-to-text:t;">
              <w:txbxContent>
                <w:p>
                  <w:pPr>
                    <w:spacing w:after="312" w:afterLines="100"/>
                    <w:rPr>
                      <w:color w:val="7030A0"/>
                    </w:rPr>
                  </w:pPr>
                  <w:r>
                    <w:rPr>
                      <w:rFonts w:hint="eastAsia"/>
                      <w:color w:val="7030A0"/>
                    </w:rPr>
                    <w:t>151250162_cseiii_Quantour小组</w:t>
                  </w:r>
                </w:p>
                <w:p>
                  <w:pPr>
                    <w:spacing w:after="312" w:afterLines="100"/>
                  </w:pPr>
                  <w:r>
                    <w:rPr>
                      <w:rFonts w:hint="eastAsia"/>
                      <w:color w:val="7030A0"/>
                    </w:rPr>
                    <w:t>吴宇涵 陈语嫣 徐佳炜 朱晨乾</w:t>
                  </w:r>
                </w:p>
              </w:txbxContent>
            </v:textbox>
            <w10:wrap type="square"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阶段目标</w:t>
      </w:r>
    </w:p>
    <w:p>
      <w:pPr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在第</w:t>
      </w:r>
      <w:r>
        <w:rPr>
          <w:rFonts w:hint="eastAsia"/>
          <w:szCs w:val="21"/>
          <w:lang w:val="en-US" w:eastAsia="zh-CN"/>
        </w:rPr>
        <w:t>三</w:t>
      </w:r>
      <w:r>
        <w:rPr>
          <w:rFonts w:hint="eastAsia"/>
          <w:szCs w:val="21"/>
        </w:rPr>
        <w:t>个迭代周期，151250162_cseiii_Quantour小组需要完成以下任务：</w:t>
      </w:r>
    </w:p>
    <w:p>
      <w:pPr>
        <w:ind w:left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将原有桌面软件转为web项目</w:t>
      </w:r>
    </w:p>
    <w:p>
      <w:pPr>
        <w:ind w:left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将java处理数据转为python处理数据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增加系统的用例，描述用户需求，完善系统需求规格说明书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完善系统的测试用例及集成测试方案</w:t>
      </w:r>
    </w:p>
    <w:p>
      <w:pPr>
        <w:ind w:left="420"/>
        <w:rPr>
          <w:szCs w:val="21"/>
        </w:rPr>
      </w:pPr>
      <w:r>
        <w:rPr>
          <w:rFonts w:hint="eastAsia"/>
          <w:szCs w:val="21"/>
        </w:rPr>
        <w:t>添加功能，进一步完成软件</w:t>
      </w:r>
    </w:p>
    <w:p>
      <w:pPr>
        <w:ind w:left="420"/>
        <w:rPr>
          <w:b/>
          <w:bCs/>
          <w:sz w:val="28"/>
          <w:szCs w:val="28"/>
        </w:rPr>
      </w:pPr>
      <w:r>
        <w:rPr>
          <w:rFonts w:hint="eastAsia"/>
          <w:szCs w:val="21"/>
        </w:rPr>
        <w:t>在第二个迭代周期末期，初步制定第三个迭代周期的计划</w:t>
      </w:r>
    </w:p>
    <w:p>
      <w:pPr>
        <w:ind w:left="42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日程表</w:t>
      </w:r>
    </w:p>
    <w:p>
      <w:pPr>
        <w:numPr>
          <w:ilvl w:val="0"/>
          <w:numId w:val="2"/>
        </w:numPr>
        <w:rPr>
          <w:rFonts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项目日程表</w:t>
      </w:r>
    </w:p>
    <w:p>
      <w:pPr>
        <w:rPr>
          <w:rFonts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对于迭代二的计划和进展情况，得到的甘特图如下图：</w:t>
      </w:r>
    </w:p>
    <w:p>
      <w:pPr>
        <w:rPr>
          <w:rFonts w:hint="eastAsia" w:asciiTheme="minorEastAsia" w:hAnsiTheme="minorEastAsia" w:eastAsiaTheme="minorEastAsia" w:cstheme="minorEastAsia"/>
          <w:b/>
          <w:bCs/>
          <w:szCs w:val="21"/>
          <w:lang w:eastAsia="zh-CN"/>
        </w:rPr>
      </w:pPr>
      <w:bookmarkStart w:id="2" w:name="_GoBack"/>
      <w:r>
        <w:rPr>
          <w:rFonts w:hint="eastAsia" w:asciiTheme="minorEastAsia" w:hAnsiTheme="minorEastAsia" w:eastAsiaTheme="minorEastAsia" w:cstheme="minorEastAsia"/>
          <w:b/>
          <w:bCs/>
          <w:szCs w:val="21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rPr>
          <w:rFonts w:asciiTheme="minorEastAsia" w:hAnsiTheme="minorEastAsia" w:eastAsiaTheme="minorEastAsia" w:cstheme="minorEastAsia"/>
          <w:szCs w:val="21"/>
        </w:rPr>
      </w:pPr>
    </w:p>
    <w:p>
      <w:pPr>
        <w:rPr>
          <w:rFonts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第二次迭代成本估算表：</w:t>
      </w:r>
    </w:p>
    <w:tbl>
      <w:tblPr>
        <w:tblStyle w:val="8"/>
        <w:tblW w:w="8296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</w:tblPrEx>
        <w:trPr>
          <w:jc w:val="center"/>
        </w:trPr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任务ID</w:t>
            </w:r>
          </w:p>
        </w:tc>
        <w:tc>
          <w:tcPr>
            <w:tcW w:w="2765" w:type="dxa"/>
            <w:tcBorders>
              <w:bottom w:val="single" w:color="9CC2E5" w:themeColor="accent1" w:themeTint="99" w:sz="12" w:space="0"/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成本预估（人日）</w:t>
            </w:r>
          </w:p>
        </w:tc>
        <w:tc>
          <w:tcPr>
            <w:tcW w:w="2766" w:type="dxa"/>
            <w:tcBorders>
              <w:bottom w:val="single" w:color="9CC2E5" w:themeColor="accent1" w:themeTint="99" w:sz="12" w:space="0"/>
              <w:insideH w:val="single" w:sz="12" w:space="0"/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实际执行记录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1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2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3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4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1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b/>
                <w:bCs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Cs w:val="21"/>
              </w:rPr>
              <w:t>5</w:t>
            </w:r>
          </w:p>
        </w:tc>
        <w:tc>
          <w:tcPr>
            <w:tcW w:w="276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  <w:lang w:val="en-US" w:eastAsia="zh-CN"/>
              </w:rPr>
              <w:t>14</w:t>
            </w:r>
          </w:p>
        </w:tc>
        <w:tc>
          <w:tcPr>
            <w:tcW w:w="276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>
            <w:pPr>
              <w:spacing w:line="500" w:lineRule="exact"/>
              <w:rPr>
                <w:rFonts w:asciiTheme="majorEastAsia" w:hAnsiTheme="majorEastAsia" w:eastAsiaTheme="majorEastAsia" w:cstheme="majorEastAsia"/>
                <w:szCs w:val="21"/>
              </w:rPr>
            </w:pPr>
          </w:p>
        </w:tc>
      </w:tr>
    </w:tbl>
    <w:p>
      <w:pPr>
        <w:rPr>
          <w:rFonts w:asciiTheme="minorEastAsia" w:hAnsiTheme="minorEastAsia" w:eastAsiaTheme="minorEastAsia" w:cstheme="minorEastAsia"/>
          <w:szCs w:val="21"/>
        </w:rPr>
      </w:pPr>
    </w:p>
    <w:p>
      <w:pPr>
        <w:rPr>
          <w:rFonts w:asciiTheme="minorEastAsia" w:hAnsiTheme="minorEastAsia" w:eastAsiaTheme="minorEastAsia" w:cstheme="minorEastAsia"/>
          <w:b/>
          <w:bCs/>
          <w:szCs w:val="21"/>
        </w:rPr>
      </w:pPr>
    </w:p>
    <w:p>
      <w:pPr>
        <w:numPr>
          <w:ilvl w:val="0"/>
          <w:numId w:val="2"/>
        </w:numPr>
        <w:rPr>
          <w:rFonts w:asciiTheme="minorEastAsia" w:hAnsiTheme="minorEastAsia" w:eastAsiaTheme="minorEastAsia" w:cstheme="minorEastAsia"/>
          <w:b/>
          <w:bCs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Cs w:val="21"/>
        </w:rPr>
        <w:t>资源日程表（任务日程表）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DAY2~4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DAY5~7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DAY8~10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开会，确定基本分工，编写项目启动文档、计划文档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增加新的功能需求，并增加新的界面设计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优化数据层结构及传输通信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ebug，完善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美化界面设计，完善更改各模块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left="42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里程碑和里程碑标志日期</w:t>
      </w:r>
    </w:p>
    <w:p>
      <w:pPr>
        <w:ind w:left="420"/>
        <w:rPr>
          <w:b/>
          <w:bCs/>
          <w:sz w:val="28"/>
          <w:szCs w:val="28"/>
        </w:rPr>
      </w:pPr>
      <w:r>
        <w:rPr>
          <w:rFonts w:hint="eastAsia"/>
          <w:szCs w:val="21"/>
        </w:rPr>
        <w:t>每完成一次迭代建立一个里程碑</w:t>
      </w: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计划执行检查表</w:t>
      </w:r>
    </w:p>
    <w:tbl>
      <w:tblPr>
        <w:tblStyle w:val="6"/>
        <w:tblW w:w="8494" w:type="dxa"/>
        <w:jc w:val="center"/>
        <w:tblInd w:w="0" w:type="dxa"/>
        <w:tblBorders>
          <w:top w:val="single" w:color="7030A0" w:sz="12" w:space="0"/>
          <w:left w:val="single" w:color="7030A0" w:sz="12" w:space="0"/>
          <w:bottom w:val="single" w:color="7030A0" w:sz="12" w:space="0"/>
          <w:right w:val="single" w:color="7030A0" w:sz="12" w:space="0"/>
          <w:insideH w:val="single" w:color="7030A0" w:sz="12" w:space="0"/>
          <w:insideV w:val="single" w:color="7030A0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1213"/>
        <w:gridCol w:w="1213"/>
        <w:gridCol w:w="1213"/>
        <w:gridCol w:w="3642"/>
      </w:tblGrid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DAY1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DAY2~4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DAY5~7</w:t>
            </w:r>
          </w:p>
        </w:tc>
        <w:tc>
          <w:tcPr>
            <w:tcW w:w="36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DAY8~10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吴宇涵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基本分工</w:t>
            </w:r>
            <w:r>
              <w:rPr>
                <w:rFonts w:hint="eastAsia"/>
                <w:szCs w:val="21"/>
                <w:lang w:val="en-US" w:eastAsia="zh-CN"/>
              </w:rPr>
              <w:t>确定</w:t>
            </w:r>
            <w:r>
              <w:rPr>
                <w:rFonts w:hint="eastAsia"/>
                <w:szCs w:val="21"/>
              </w:rPr>
              <w:t>，项目启动文档、计划文档</w:t>
            </w: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增加新的功能需求，并增加新的界面设计</w:t>
            </w:r>
          </w:p>
        </w:tc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优化数据层结构及传输通信</w:t>
            </w:r>
          </w:p>
        </w:tc>
        <w:tc>
          <w:tcPr>
            <w:tcW w:w="364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ebug，完善</w:t>
            </w: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陈语嫣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美化界面设计，完善更改各模块</w:t>
            </w: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徐佳炜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7030A0" w:sz="12" w:space="0"/>
            <w:left w:val="single" w:color="7030A0" w:sz="12" w:space="0"/>
            <w:bottom w:val="single" w:color="7030A0" w:sz="12" w:space="0"/>
            <w:right w:val="single" w:color="7030A0" w:sz="12" w:space="0"/>
            <w:insideH w:val="single" w:color="7030A0" w:sz="12" w:space="0"/>
            <w:insideV w:val="single" w:color="7030A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朱晨乾</w:t>
            </w: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21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64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ind w:left="420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5850"/>
    <w:multiLevelType w:val="singleLevel"/>
    <w:tmpl w:val="58B9585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8B95B95"/>
    <w:multiLevelType w:val="singleLevel"/>
    <w:tmpl w:val="58B95B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5301"/>
    <w:rsid w:val="00172A27"/>
    <w:rsid w:val="00D71F7E"/>
    <w:rsid w:val="0BA002E1"/>
    <w:rsid w:val="134B2F7B"/>
    <w:rsid w:val="17E0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table" w:customStyle="1" w:styleId="8">
    <w:name w:val="网格表 1 浅色 - 着色 11"/>
    <w:basedOn w:val="5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6719;&#24037;&#19977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C:\Users\dell\Desktop\软工三\Normal.wpt</Template>
  <Pages>3</Pages>
  <Words>87</Words>
  <Characters>501</Characters>
  <Lines>4</Lines>
  <Paragraphs>1</Paragraphs>
  <ScaleCrop>false</ScaleCrop>
  <LinksUpToDate>false</LinksUpToDate>
  <CharactersWithSpaces>587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2017-06-13T05:18:01Z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